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Poljoprivredni  institut Osijek</w:t>
      </w: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Južno predgrađe 17</w:t>
      </w: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31000 Osijek</w:t>
      </w:r>
    </w:p>
    <w:p w:rsidR="00636249" w:rsidRPr="00FF2EE0" w:rsidRDefault="00636249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RKP: 2991</w:t>
      </w: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E3611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E3611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C638D7" w:rsidRPr="00FF2EE0">
        <w:rPr>
          <w:rFonts w:ascii="Times New Roman" w:hAnsi="Times New Roman" w:cs="Times New Roman"/>
          <w:sz w:val="24"/>
          <w:szCs w:val="24"/>
        </w:rPr>
        <w:t xml:space="preserve">POSEBNOG DIJELA </w:t>
      </w:r>
      <w:r w:rsidRPr="00FF2EE0">
        <w:rPr>
          <w:rFonts w:ascii="Times New Roman" w:hAnsi="Times New Roman" w:cs="Times New Roman"/>
          <w:sz w:val="24"/>
          <w:szCs w:val="24"/>
        </w:rPr>
        <w:t>FINANCIJSKOG PLANA</w:t>
      </w:r>
    </w:p>
    <w:p w:rsidR="00EC2872" w:rsidRPr="00FF2EE0" w:rsidRDefault="00EC2872" w:rsidP="00E3611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ZA RAZDOBLJE 202</w:t>
      </w:r>
      <w:r w:rsidR="00B2311C" w:rsidRPr="00FF2EE0">
        <w:rPr>
          <w:rFonts w:ascii="Times New Roman" w:hAnsi="Times New Roman" w:cs="Times New Roman"/>
          <w:sz w:val="24"/>
          <w:szCs w:val="24"/>
        </w:rPr>
        <w:t>4</w:t>
      </w:r>
      <w:r w:rsidRPr="00FF2EE0">
        <w:rPr>
          <w:rFonts w:ascii="Times New Roman" w:hAnsi="Times New Roman" w:cs="Times New Roman"/>
          <w:sz w:val="24"/>
          <w:szCs w:val="24"/>
        </w:rPr>
        <w:t>. – 202</w:t>
      </w:r>
      <w:r w:rsidR="00B2311C" w:rsidRPr="00FF2EE0">
        <w:rPr>
          <w:rFonts w:ascii="Times New Roman" w:hAnsi="Times New Roman" w:cs="Times New Roman"/>
          <w:sz w:val="24"/>
          <w:szCs w:val="24"/>
        </w:rPr>
        <w:t>6</w:t>
      </w:r>
      <w:r w:rsidRPr="00FF2EE0">
        <w:rPr>
          <w:rFonts w:ascii="Times New Roman" w:hAnsi="Times New Roman" w:cs="Times New Roman"/>
          <w:sz w:val="24"/>
          <w:szCs w:val="24"/>
        </w:rPr>
        <w:t>. GODINE</w:t>
      </w: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B2311C" w:rsidP="007C22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Osijek, </w:t>
      </w:r>
      <w:r w:rsidR="00B21B72">
        <w:rPr>
          <w:rFonts w:ascii="Times New Roman" w:hAnsi="Times New Roman" w:cs="Times New Roman"/>
          <w:sz w:val="24"/>
          <w:szCs w:val="24"/>
        </w:rPr>
        <w:t>prosinac</w:t>
      </w:r>
      <w:r w:rsidR="00EC2872" w:rsidRPr="00FF2EE0">
        <w:rPr>
          <w:rFonts w:ascii="Times New Roman" w:hAnsi="Times New Roman" w:cs="Times New Roman"/>
          <w:sz w:val="24"/>
          <w:szCs w:val="24"/>
        </w:rPr>
        <w:t xml:space="preserve"> 202</w:t>
      </w:r>
      <w:r w:rsidRPr="00FF2EE0">
        <w:rPr>
          <w:rFonts w:ascii="Times New Roman" w:hAnsi="Times New Roman" w:cs="Times New Roman"/>
          <w:sz w:val="24"/>
          <w:szCs w:val="24"/>
        </w:rPr>
        <w:t>3</w:t>
      </w:r>
      <w:r w:rsidR="00EC2872" w:rsidRPr="00FF2EE0">
        <w:rPr>
          <w:rFonts w:ascii="Times New Roman" w:hAnsi="Times New Roman" w:cs="Times New Roman"/>
          <w:sz w:val="24"/>
          <w:szCs w:val="24"/>
        </w:rPr>
        <w:t>.</w:t>
      </w: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FCB" w:rsidRPr="008D23EE" w:rsidRDefault="008D23EE" w:rsidP="008D23EE">
      <w:pPr>
        <w:shd w:val="clear" w:color="auto" w:fill="D9D9D9" w:themeFill="background1" w:themeFillShade="D9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23EE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1F7B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9F4" w:rsidRPr="008D23EE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:rsidR="00EC2872" w:rsidRPr="00FF2EE0" w:rsidRDefault="007C227C" w:rsidP="009D37CE">
      <w:pPr>
        <w:shd w:val="clear" w:color="auto" w:fill="D9D9D9" w:themeFill="background1" w:themeFillShade="D9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F2EE0">
        <w:rPr>
          <w:rFonts w:ascii="Times New Roman" w:hAnsi="Times New Roman" w:cs="Times New Roman"/>
          <w:b/>
          <w:sz w:val="24"/>
          <w:szCs w:val="24"/>
        </w:rPr>
        <w:t>POLJOPRIVREDNI</w:t>
      </w:r>
      <w:r w:rsidR="009D37CE" w:rsidRPr="00FF2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EE0">
        <w:rPr>
          <w:rFonts w:ascii="Times New Roman" w:hAnsi="Times New Roman" w:cs="Times New Roman"/>
          <w:b/>
          <w:sz w:val="24"/>
          <w:szCs w:val="24"/>
        </w:rPr>
        <w:t xml:space="preserve"> INSTITUT OSIJEK ZA RAZDOBLJE 202</w:t>
      </w:r>
      <w:r w:rsidR="00F869EB" w:rsidRPr="00FF2EE0">
        <w:rPr>
          <w:rFonts w:ascii="Times New Roman" w:hAnsi="Times New Roman" w:cs="Times New Roman"/>
          <w:b/>
          <w:sz w:val="24"/>
          <w:szCs w:val="24"/>
        </w:rPr>
        <w:t>4</w:t>
      </w:r>
      <w:r w:rsidRPr="00FF2EE0">
        <w:rPr>
          <w:rFonts w:ascii="Times New Roman" w:hAnsi="Times New Roman" w:cs="Times New Roman"/>
          <w:b/>
          <w:sz w:val="24"/>
          <w:szCs w:val="24"/>
        </w:rPr>
        <w:t>.- 202</w:t>
      </w:r>
      <w:r w:rsidR="00F869EB" w:rsidRPr="00FF2EE0">
        <w:rPr>
          <w:rFonts w:ascii="Times New Roman" w:hAnsi="Times New Roman" w:cs="Times New Roman"/>
          <w:b/>
          <w:sz w:val="24"/>
          <w:szCs w:val="24"/>
        </w:rPr>
        <w:t>6</w:t>
      </w:r>
      <w:r w:rsidRPr="00FF2EE0">
        <w:rPr>
          <w:rFonts w:ascii="Times New Roman" w:hAnsi="Times New Roman" w:cs="Times New Roman"/>
          <w:b/>
          <w:sz w:val="24"/>
          <w:szCs w:val="24"/>
        </w:rPr>
        <w:t>. GODIN</w:t>
      </w:r>
      <w:r w:rsidR="00E06685" w:rsidRPr="00FF2EE0">
        <w:rPr>
          <w:rFonts w:ascii="Times New Roman" w:hAnsi="Times New Roman" w:cs="Times New Roman"/>
          <w:b/>
          <w:sz w:val="24"/>
          <w:szCs w:val="24"/>
        </w:rPr>
        <w:t>E</w:t>
      </w:r>
    </w:p>
    <w:p w:rsidR="007C227C" w:rsidRPr="00FF2EE0" w:rsidRDefault="007C227C" w:rsidP="006A337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872" w:rsidRPr="00FF2EE0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Poljoprivredni institut Osijek je javna znanstvena ustanova čiji je glavni cilj provođenje znanstvenih istraživanja i razvoj inovacija kako bi se povećala učinkovitost poljoprivredne proizvodnje. Jedini je javni znanstveni institut u vlasništvu Republike Hrvatske koji se nalazi u Slavoniji i Baranji, regiji u kojoj poljoprivreda ima presudnu gospodarsku ulogu. Biljna proizvodnja predstavlja jednu od glavnih sastavnica u poljoprivredi regije, a biljne znanosti su znanstvena osnova ove proizvodnje. </w:t>
      </w:r>
    </w:p>
    <w:p w:rsidR="00EC2872" w:rsidRPr="00FF2EE0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Kroz proteklih 14</w:t>
      </w:r>
      <w:r w:rsidR="00700636" w:rsidRPr="00FF2EE0">
        <w:rPr>
          <w:rFonts w:ascii="Times New Roman" w:hAnsi="Times New Roman" w:cs="Times New Roman"/>
          <w:sz w:val="24"/>
          <w:szCs w:val="24"/>
        </w:rPr>
        <w:t>5</w:t>
      </w:r>
      <w:r w:rsidRPr="00FF2EE0">
        <w:rPr>
          <w:rFonts w:ascii="Times New Roman" w:hAnsi="Times New Roman" w:cs="Times New Roman"/>
          <w:sz w:val="24"/>
          <w:szCs w:val="24"/>
        </w:rPr>
        <w:t xml:space="preserve"> godine kontinuiranog djelovanja mijenjale su se društvene prilike i nazivi ustanove, ali je ostala nepromijenjena usmjerenost Instituta – povezivanje biljnih znanosti sa razvojem biljne proizvodnje provedbom znanstvenih istraživanja iz područja biotehničkih znanosti, znanstveno polje poljoprivreda i znanstveno polje prehrambe</w:t>
      </w:r>
      <w:r w:rsidR="007C227C" w:rsidRPr="00FF2EE0">
        <w:rPr>
          <w:rFonts w:ascii="Times New Roman" w:hAnsi="Times New Roman" w:cs="Times New Roman"/>
          <w:sz w:val="24"/>
          <w:szCs w:val="24"/>
        </w:rPr>
        <w:t>na tehnologija te pronalaženjem i kreiranjem</w:t>
      </w:r>
      <w:r w:rsidRPr="00FF2EE0">
        <w:rPr>
          <w:rFonts w:ascii="Times New Roman" w:hAnsi="Times New Roman" w:cs="Times New Roman"/>
          <w:sz w:val="24"/>
          <w:szCs w:val="24"/>
        </w:rPr>
        <w:t xml:space="preserve"> znanstvenih, razvojnih i stručnih podloga u biljnoj proizvodnji za velike regionalne i nacionalne poljoprivredne sustave te obiteljska poljoprivredna gospodarstva, primarno razvojem i unaprjeđenjem genetskog potencijala pšenice, ječma, kukuruza, soje, suncokreta, lucerne, graška i crvene djeteline te voćnih sadnica. </w:t>
      </w:r>
    </w:p>
    <w:p w:rsidR="00EC2872" w:rsidRPr="00FF2EE0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U Hrvatskoj, Institut ima vodeću ulogu u diseminaciji znanja, istraživanja i razvoja te pronalaženja inovativnih rješenja u području biljnih znanosti. Sve aktivnosti Instituta na znanstvenoj i stručnoj razini u funkciji su unaprjeđenja domaće poljoprivredne proizvodnje i podrške akademskoj zajednici, a kroz to, društvenog i gospodarskog razvoja Republike Hrvatske. </w:t>
      </w:r>
    </w:p>
    <w:p w:rsidR="00EC2872" w:rsidRPr="00FF2EE0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U provođenju novih znanstvenih i razvojnih istraživanja, Institut prepoznaje značaj europskog konteksta u osiguranju najviših standarda kvalitete u znanstvenim, razvojnim i stručnim aktivnostima, kao i u razvoju novih tehnologija u biljnim znanostima važnim za unaprjeđenje okolišno prihvatljive biljne proizvodnje kao i proizvodnju bioenergije.</w:t>
      </w:r>
    </w:p>
    <w:p w:rsidR="00EC2872" w:rsidRPr="00FF2EE0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Institut je iz državnog proračuna financiran sa </w:t>
      </w:r>
      <w:r w:rsidR="007C227C" w:rsidRPr="00FF2EE0">
        <w:rPr>
          <w:rFonts w:ascii="Times New Roman" w:hAnsi="Times New Roman" w:cs="Times New Roman"/>
          <w:sz w:val="24"/>
          <w:szCs w:val="24"/>
        </w:rPr>
        <w:t>oko</w:t>
      </w:r>
      <w:r w:rsidRPr="00FF2EE0">
        <w:rPr>
          <w:rFonts w:ascii="Times New Roman" w:hAnsi="Times New Roman" w:cs="Times New Roman"/>
          <w:sz w:val="24"/>
          <w:szCs w:val="24"/>
        </w:rPr>
        <w:t xml:space="preserve"> 12% ukupnih prihoda, dok ostale prihode ostvaruje na tržištu te, manjim dijelom, kroz projekte. Po Nacionalnoj klasifikaciji djelatnosti Državnog zavoda za statistiku djelatnost Instituta je: Ostalo istraživanje i eksperimentalni razvoj u prirodnim, tehničkim i tehnološkim znanostima, brojčana oznaka razreda: 72.19.</w:t>
      </w:r>
    </w:p>
    <w:p w:rsidR="00EC2872" w:rsidRPr="00FF2EE0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Strateški program rada i razvoja Poljoprivrednog instituta Osijek za razdoblje od 2021. do 2025. godine definira strateški okvir i smjernice rada i razvoja Instituta kroz kontinuirano ulaganje u: 1.) podizanje sveukupnog potencijala, kompeticija i vještina ljudskih resursa u znanosti i inovacijama; 2.) poticanje istraživačkih partnerstva i mobilnosti znanstvenika; 3.) poboljšanje infrastrukture Instituta i 4.) poticanje poduzetništva zasnovanog na inovacijama i visokim tehnologijama.</w:t>
      </w:r>
    </w:p>
    <w:p w:rsidR="00EC2872" w:rsidRPr="00FF2EE0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Misija Poljoprivrednog instituta Osijek je doprinositi unaprjeđenju poljoprivredne znanosti i poljoprivredne proizvodnje kroz provođenje znanstvenih i razvojnih istraživanja u području biotehničkih znanosti (polja: poljoprivreda i prehrambena tehnologija), razvoj inovacija i visokih tehnologija, prijenos znanja korisnicima te sudjelovanje u akademskom i cjeloživotnom obrazovanju. Institut ostvaruje znanstvene programe od strateškog interesa za Republiku Hrvatsku, u suradnji s visokim učilištima uspostavlja znanstvenu infrastrukturu od interesa za cjelokupni sustav znanstvene djelatnosti i visokog obrazovanja i sudjeluje u </w:t>
      </w:r>
      <w:r w:rsidRPr="00FF2EE0">
        <w:rPr>
          <w:rFonts w:ascii="Times New Roman" w:hAnsi="Times New Roman" w:cs="Times New Roman"/>
          <w:sz w:val="24"/>
          <w:szCs w:val="24"/>
        </w:rPr>
        <w:lastRenderedPageBreak/>
        <w:t>procesu visokog obrazovanja sukladno Zakonu. Institut je usmjeren na osiguranje i razvijanje izvrsnosti u znanstvenim i razvojnim istraživanjima iz područja biljnih znanosti i time doprinosi unaprjeđenju proizvodnje hrane i bioenergije, prateće industrije i gospodarenja prirodnim izvorima u nacionalnom, regionalnom i europskom kontekstu.</w:t>
      </w:r>
    </w:p>
    <w:p w:rsidR="00EC2872" w:rsidRPr="00FF2EE0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Rezultati istraživanja koja se provode u okviru projekata, zatim rezultati istraživanja iz područja genetike bilja, oplemenjivanja bilja i sjemenarstva, proizvodnje poljoprivrednih kultura, fiziologije biljaka i stresa, molekularnih istraživanja, te rezultati istraživanja koja se odnose na primjenu novih tehnika te uvođenje, prilagođavanje i validiranje novih metoda za istraživački rad prezentiraju se javnosti kroz razne publikacije (znanstveni i stručni radovi, prikazi, knjige, priručnici, katalozi) te organizaciju radionica, predavanja, tradicionalnih manifestacija (Dan polja), što pridonosi podizanju razine znanja agronomske struke. U okviru istraživačkih aktivnosti posebno će se poticati i ojačati provedba istraživanja koja će biti temeljena na interdisciplinarnosti, praktičnoj primjenjivosti i komercijalizaciji te sukladnosti s nacionalnim prioritetima. Poticanje znanstvenih istraživanja u smislu izvrsnosti i kompetitivnosti na nacionalnoj i međunarodnoj razini rezultanta je jačanja interdisciplinarnosti te fleksibilnosti i promjenjivosti fokusa i metoda istraživačkih aktivnosti u svijetu. Interdisciplinarnost i internacionalnost istraživačkih grupa povećavaju vidljivost i utjecaj takvih istraživanja. Stoga je potrebno uspostavljati osobne i institucionalne kontakte sa centrima izvrsnosti u Europi i svijetu te koristiti svaku priliku za prezentaciju potencijala i perspektiva Instituta u smislu istraživačkih kompetencija.</w:t>
      </w:r>
    </w:p>
    <w:p w:rsidR="00EC2872" w:rsidRPr="00FF2EE0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Proizvodno-komercijalna djelatnost je djelokrug rada Instituta pomoću koje rezultati znanstveno-istraživačkog rada Instituta nalaze primjenu u širokoj poljoprivrednoj proizvodnji, u smislu proizvodnje, marketinga, promocije, distribucije i prodaje dovoljnih količina kvalitetnog sjemena osječkih kultivara i reprodukcijskog materijala u Republici Hrvatskoj i inozemstvu. Inovativna i originalna rješenja predstavljena kroz naš vlastiti sortiment, transfer tehnologije oplemenjivanja i sjemenarstva kao i suradnja s gospodarstvom postaju ili već jesu temeljna polazišta našeg i drugih suvremenih znanstvenih instituta ovakvog tipa, u smislu njihove održivosti i stabilnosti financiranja.</w:t>
      </w:r>
    </w:p>
    <w:p w:rsidR="00EC2872" w:rsidRPr="00FF2EE0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U sljedećih pet godina, vizija Poljoprivrednog instituta Osijek je zadržati poziciju vodeće znanstveno-istraživačke i razvojne institucije u području poljoprivrede iz polja genetike, oplemenjivanja i sjemenarstva bilja na nacionalnoj razini. Biti prepoznatljiv subjekt u biotehničkim i interdisciplinarnim znanstvenim područjima istraživanja na nacionalnoj i međunarodnoj razini, aktivno se uključiti u Europski istraživački prostor (ERA) te svojim aktivnostima trajno doprinositi cjelovitom razvoju znanstvenog i gospodarskog prostora u Republici Hrvatskoj. </w:t>
      </w:r>
    </w:p>
    <w:p w:rsidR="00EC2872" w:rsidRPr="00FF2EE0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Ostvarenje vizije Instituta uključuje stvaranje i jačanje ljudskih i infrastrukturnih kapaciteta neophodnih za ostvarenje: 1.) kvalitete sustava znanstvenog kapaciteta Instituta utemeljenog na izvrsnosti, gospodarskim i društvenim potrebama; 2.) globalno konkurentnog, kvalitetnog, dostupnog i održivog proizvodno-komercijalnog kapaciteta Instituta te 3.) sustava kvalitete obrazovanja i društvene odgovornosti Instituta.</w:t>
      </w:r>
    </w:p>
    <w:p w:rsidR="00EC2872" w:rsidRPr="00FF2EE0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C8B" w:rsidRPr="00FF2EE0" w:rsidRDefault="00CF1C8B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8D23EE" w:rsidP="00A50E4E">
      <w:pPr>
        <w:shd w:val="clear" w:color="auto" w:fill="D9D9D9" w:themeFill="background1" w:themeFillShade="D9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lastRenderedPageBreak/>
        <w:t xml:space="preserve">2. </w:t>
      </w:r>
      <w:r w:rsidR="001F7B4D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EC2872" w:rsidRPr="00FF2EE0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A</w:t>
      </w:r>
      <w:r w:rsidR="00FD5D28" w:rsidRPr="00FF2EE0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111111 PROGRAMSKO FINANCIRANJE JAVNIH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INSTITUTA, izvor 11</w:t>
      </w:r>
    </w:p>
    <w:p w:rsidR="00FA39F4" w:rsidRPr="00FF2EE0" w:rsidRDefault="00FA39F4" w:rsidP="00553FC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872" w:rsidRPr="00FF2EE0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Zakonske i druge pravne osnove</w:t>
      </w:r>
      <w:r w:rsidR="00CF1C8B" w:rsidRPr="00FF2EE0">
        <w:rPr>
          <w:rFonts w:ascii="Times New Roman" w:hAnsi="Times New Roman" w:cs="Times New Roman"/>
          <w:sz w:val="24"/>
          <w:szCs w:val="24"/>
        </w:rPr>
        <w:t>:</w:t>
      </w:r>
    </w:p>
    <w:p w:rsidR="00960F5E" w:rsidRPr="00FF2EE0" w:rsidRDefault="00960F5E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F5E" w:rsidRPr="00FF2EE0" w:rsidRDefault="00960F5E" w:rsidP="0096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- Zakon o znanstvenoj djelatnosti i visokom obrazovanju;</w:t>
      </w:r>
    </w:p>
    <w:p w:rsidR="00960F5E" w:rsidRPr="00FF2EE0" w:rsidRDefault="00960F5E" w:rsidP="0096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- Zakon o ustanovama; </w:t>
      </w:r>
    </w:p>
    <w:p w:rsidR="00960F5E" w:rsidRPr="00FF2EE0" w:rsidRDefault="00960F5E" w:rsidP="0096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- Zakon o osiguranju kvalitete u znanosti i visokom obrazovanju; </w:t>
      </w:r>
    </w:p>
    <w:p w:rsidR="00960F5E" w:rsidRPr="00FF2EE0" w:rsidRDefault="00960F5E" w:rsidP="0096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- Nacionalna razvojna strategija Republike Hrvatske do 2030.; </w:t>
      </w:r>
    </w:p>
    <w:p w:rsidR="00960F5E" w:rsidRPr="00FF2EE0" w:rsidRDefault="00960F5E" w:rsidP="0096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- Ugovor o programskom financiranju javnih znanstvenih instituta;</w:t>
      </w:r>
    </w:p>
    <w:p w:rsidR="00960F5E" w:rsidRPr="00FF2EE0" w:rsidRDefault="00960F5E" w:rsidP="0096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- Statut Poljoprivrednog instituta Osijek;</w:t>
      </w:r>
    </w:p>
    <w:p w:rsidR="00960F5E" w:rsidRPr="00FF2EE0" w:rsidRDefault="00960F5E" w:rsidP="0096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- Strateški program rada i razvoja Poljoprivrednog instituta Osijek za razdoblje </w:t>
      </w:r>
    </w:p>
    <w:p w:rsidR="00960F5E" w:rsidRPr="00FF2EE0" w:rsidRDefault="00960F5E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  2021.-2025.</w:t>
      </w:r>
    </w:p>
    <w:p w:rsidR="00DD35D6" w:rsidRPr="00FF2EE0" w:rsidRDefault="00DD35D6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- Uredba o </w:t>
      </w:r>
      <w:r w:rsidR="003C1268" w:rsidRPr="00FF2EE0">
        <w:rPr>
          <w:rFonts w:ascii="Times New Roman" w:hAnsi="Times New Roman" w:cs="Times New Roman"/>
          <w:sz w:val="24"/>
          <w:szCs w:val="24"/>
        </w:rPr>
        <w:t>p</w:t>
      </w:r>
      <w:r w:rsidRPr="00FF2EE0">
        <w:rPr>
          <w:rFonts w:ascii="Times New Roman" w:hAnsi="Times New Roman" w:cs="Times New Roman"/>
          <w:sz w:val="24"/>
          <w:szCs w:val="24"/>
        </w:rPr>
        <w:t>rogramskom financiranju javnih visokih učilišta i javnih znanstvenih instituta u Republici Hrvatskoj (NN 78/2023)</w:t>
      </w:r>
    </w:p>
    <w:p w:rsidR="00027849" w:rsidRPr="00FF2EE0" w:rsidRDefault="00027849" w:rsidP="00027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849" w:rsidRPr="00FF2EE0" w:rsidRDefault="00027849" w:rsidP="00027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Institut obavlja svoju djelatnost i posluje samostalno na način određen Zakonom o ustanovama, Zakonom o znanstvenoj djelatnosti i visokom obrazovanju i Zakonom o osiguranju kvalitete u znanosti i visokom obrazovanju, specifičnim zakonima, nacionalnim pravilnicima i drugim aktima koji reguliraju pojedina pitanja iz djelokruga rada Instituta, zatim Statutom i pravilnicima Instituta te drugim aktima Instituta.</w:t>
      </w:r>
    </w:p>
    <w:p w:rsidR="00027849" w:rsidRPr="00FF2EE0" w:rsidRDefault="00027849" w:rsidP="00027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Institut vodi poslovne knjige sukladno Zakonu o računovodstvu i ima obvezu izvještavanja sukladno Zakonu o proračunu.</w:t>
      </w:r>
    </w:p>
    <w:p w:rsidR="00027849" w:rsidRPr="00FF2EE0" w:rsidRDefault="00027849" w:rsidP="00027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Okvir istraživačkih djelatnosti Instituta dat je sljedećim dokumentima Ministarstva znanosti i obrazovanja: Strateški plan Ministarstva znanosti i obrazovanja RH za razdoblje 2020.-2022., Provedbeni program Ministarstva znanosti i obrazovanja RH za razdoblje 2021.-2024., Akcijski plan za mobilnost istraživača 2017.-2020., Pravilnik o uvjetima za izdavanje dopusnice za obavljanje znanstvene djelatnosti, uvjetima za reakreditaciju znanstvenih organizacija i sadržaju dopusnice, Strategija poticanja inovacija Republike Hrvatske 2014.-2020., Strategija pametne specijalizacije 2016.-2020., Okvirni program EU za istraživanje i inovacije 2021.-2027.</w:t>
      </w: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83" w:type="dxa"/>
        <w:tblLook w:val="04A0" w:firstRow="1" w:lastRow="0" w:firstColumn="1" w:lastColumn="0" w:noHBand="0" w:noVBand="1"/>
      </w:tblPr>
      <w:tblGrid>
        <w:gridCol w:w="1472"/>
        <w:gridCol w:w="1366"/>
        <w:gridCol w:w="1529"/>
        <w:gridCol w:w="1604"/>
        <w:gridCol w:w="1356"/>
        <w:gridCol w:w="1356"/>
      </w:tblGrid>
      <w:tr w:rsidR="00F86312" w:rsidRPr="00FF2EE0" w:rsidTr="00F86312">
        <w:tc>
          <w:tcPr>
            <w:tcW w:w="1472" w:type="dxa"/>
            <w:shd w:val="clear" w:color="auto" w:fill="D9D9D9" w:themeFill="background1" w:themeFillShade="D9"/>
          </w:tcPr>
          <w:p w:rsidR="00F86312" w:rsidRPr="00FF2EE0" w:rsidRDefault="00F86312" w:rsidP="00553F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312" w:rsidRPr="00FF2EE0" w:rsidRDefault="00F86312" w:rsidP="00553F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F86312" w:rsidRPr="00FF2EE0" w:rsidRDefault="00F86312" w:rsidP="00F8631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Izvršenje 2022.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F86312" w:rsidRPr="00FF2EE0" w:rsidRDefault="00F86312" w:rsidP="00F8631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2023.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F86312" w:rsidRPr="00FF2EE0" w:rsidRDefault="00F86312" w:rsidP="00F8631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2024.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F86312" w:rsidRPr="00FF2EE0" w:rsidRDefault="00F86312" w:rsidP="00F8631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2025.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F86312" w:rsidRPr="00FF2EE0" w:rsidRDefault="00F86312" w:rsidP="00F8631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2026.</w:t>
            </w:r>
          </w:p>
        </w:tc>
      </w:tr>
      <w:tr w:rsidR="00F86312" w:rsidRPr="00FF2EE0" w:rsidTr="00F86312">
        <w:tc>
          <w:tcPr>
            <w:tcW w:w="1472" w:type="dxa"/>
          </w:tcPr>
          <w:p w:rsidR="00F86312" w:rsidRPr="00FF2EE0" w:rsidRDefault="0029186B" w:rsidP="004B183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2E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A111111 </w:t>
            </w: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Programsko financiranje javnih instituta</w:t>
            </w:r>
          </w:p>
        </w:tc>
        <w:tc>
          <w:tcPr>
            <w:tcW w:w="1366" w:type="dxa"/>
          </w:tcPr>
          <w:p w:rsidR="00152CA7" w:rsidRPr="00FF2EE0" w:rsidRDefault="003A6D0B" w:rsidP="00152C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1.562.706</w:t>
            </w:r>
          </w:p>
          <w:p w:rsidR="00F86312" w:rsidRPr="00FF2EE0" w:rsidRDefault="00F86312" w:rsidP="00F82D2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:rsidR="00F86312" w:rsidRPr="00FF2EE0" w:rsidRDefault="00707DD6" w:rsidP="004438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1.849.319</w:t>
            </w:r>
          </w:p>
        </w:tc>
        <w:tc>
          <w:tcPr>
            <w:tcW w:w="1604" w:type="dxa"/>
          </w:tcPr>
          <w:p w:rsidR="00F86312" w:rsidRPr="00FF2EE0" w:rsidRDefault="00B21B72" w:rsidP="004438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2.033.413</w:t>
            </w:r>
          </w:p>
        </w:tc>
        <w:tc>
          <w:tcPr>
            <w:tcW w:w="1356" w:type="dxa"/>
          </w:tcPr>
          <w:p w:rsidR="00F86312" w:rsidRPr="00FF2EE0" w:rsidRDefault="00B21B72" w:rsidP="004438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2.044.407</w:t>
            </w:r>
          </w:p>
        </w:tc>
        <w:tc>
          <w:tcPr>
            <w:tcW w:w="1356" w:type="dxa"/>
          </w:tcPr>
          <w:p w:rsidR="00F86312" w:rsidRPr="00FF2EE0" w:rsidRDefault="00B21B72" w:rsidP="00707DD6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2.053.433</w:t>
            </w:r>
          </w:p>
        </w:tc>
      </w:tr>
    </w:tbl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2872" w:rsidRPr="00FF2EE0" w:rsidRDefault="00EC2872" w:rsidP="00CF1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Ova aktivnost sastoji se od sljedećih elemenata:</w:t>
      </w:r>
    </w:p>
    <w:p w:rsidR="00EC2872" w:rsidRPr="00FF2EE0" w:rsidRDefault="00EC2872" w:rsidP="00CF1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1. rashodi za zaposl</w:t>
      </w:r>
      <w:r w:rsidR="007E170D" w:rsidRPr="00FF2EE0">
        <w:rPr>
          <w:rFonts w:ascii="Times New Roman" w:hAnsi="Times New Roman" w:cs="Times New Roman"/>
          <w:sz w:val="24"/>
          <w:szCs w:val="24"/>
        </w:rPr>
        <w:t xml:space="preserve">ene </w:t>
      </w:r>
    </w:p>
    <w:p w:rsidR="004B183B" w:rsidRPr="00FF2EE0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2. </w:t>
      </w:r>
      <w:r w:rsidR="0029186B" w:rsidRPr="00FF2EE0">
        <w:rPr>
          <w:rFonts w:ascii="Times New Roman" w:hAnsi="Times New Roman" w:cs="Times New Roman"/>
          <w:sz w:val="24"/>
          <w:szCs w:val="24"/>
        </w:rPr>
        <w:t>materijalni rashodi</w:t>
      </w:r>
      <w:r w:rsidRPr="00FF2EE0">
        <w:rPr>
          <w:rFonts w:ascii="Times New Roman" w:hAnsi="Times New Roman" w:cs="Times New Roman"/>
          <w:sz w:val="24"/>
          <w:szCs w:val="24"/>
        </w:rPr>
        <w:t>.</w:t>
      </w:r>
    </w:p>
    <w:p w:rsidR="004B183B" w:rsidRPr="00FF2EE0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lastRenderedPageBreak/>
        <w:t xml:space="preserve">Aktivnost se provodi svake godine. </w:t>
      </w:r>
    </w:p>
    <w:p w:rsidR="00EC2872" w:rsidRPr="00FF2EE0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872" w:rsidRPr="00FF2EE0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1. Rashodi za zaposlene</w:t>
      </w:r>
      <w:r w:rsidR="00CF1C8B" w:rsidRPr="00FF2EE0">
        <w:rPr>
          <w:rFonts w:ascii="Times New Roman" w:hAnsi="Times New Roman" w:cs="Times New Roman"/>
          <w:sz w:val="24"/>
          <w:szCs w:val="24"/>
        </w:rPr>
        <w:t>:</w:t>
      </w:r>
    </w:p>
    <w:p w:rsidR="005F716D" w:rsidRPr="00FF2EE0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Planirano u 202</w:t>
      </w:r>
      <w:r w:rsidR="00F86312" w:rsidRPr="00FF2EE0">
        <w:rPr>
          <w:rFonts w:ascii="Times New Roman" w:hAnsi="Times New Roman" w:cs="Times New Roman"/>
          <w:sz w:val="24"/>
          <w:szCs w:val="24"/>
        </w:rPr>
        <w:t>4</w:t>
      </w:r>
      <w:r w:rsidRPr="00FF2EE0">
        <w:rPr>
          <w:rFonts w:ascii="Times New Roman" w:hAnsi="Times New Roman" w:cs="Times New Roman"/>
          <w:sz w:val="24"/>
          <w:szCs w:val="24"/>
        </w:rPr>
        <w:t>.</w:t>
      </w:r>
      <w:r w:rsidR="004850F1"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Pr="00FF2EE0">
        <w:rPr>
          <w:rFonts w:ascii="Times New Roman" w:hAnsi="Times New Roman" w:cs="Times New Roman"/>
          <w:sz w:val="24"/>
          <w:szCs w:val="24"/>
        </w:rPr>
        <w:t>g</w:t>
      </w:r>
      <w:r w:rsidR="004850F1" w:rsidRPr="00FF2EE0">
        <w:rPr>
          <w:rFonts w:ascii="Times New Roman" w:hAnsi="Times New Roman" w:cs="Times New Roman"/>
          <w:sz w:val="24"/>
          <w:szCs w:val="24"/>
        </w:rPr>
        <w:t>odini</w:t>
      </w:r>
      <w:r w:rsidRPr="00FF2EE0">
        <w:rPr>
          <w:rFonts w:ascii="Times New Roman" w:hAnsi="Times New Roman" w:cs="Times New Roman"/>
          <w:sz w:val="24"/>
          <w:szCs w:val="24"/>
        </w:rPr>
        <w:t xml:space="preserve"> u iznosu</w:t>
      </w:r>
      <w:r w:rsidR="001A5D7B" w:rsidRPr="00FF2EE0">
        <w:rPr>
          <w:rFonts w:ascii="Times New Roman" w:hAnsi="Times New Roman" w:cs="Times New Roman"/>
          <w:sz w:val="24"/>
          <w:szCs w:val="24"/>
        </w:rPr>
        <w:t xml:space="preserve"> od</w:t>
      </w:r>
      <w:r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="00707DD6" w:rsidRPr="00FF2EE0">
        <w:rPr>
          <w:rFonts w:ascii="Times New Roman" w:hAnsi="Times New Roman" w:cs="Times New Roman"/>
          <w:sz w:val="24"/>
          <w:szCs w:val="24"/>
        </w:rPr>
        <w:t>1.</w:t>
      </w:r>
      <w:r w:rsidR="00B96AB3">
        <w:rPr>
          <w:rFonts w:ascii="Times New Roman" w:hAnsi="Times New Roman" w:cs="Times New Roman"/>
          <w:sz w:val="24"/>
          <w:szCs w:val="24"/>
        </w:rPr>
        <w:t>960.080</w:t>
      </w:r>
      <w:r w:rsidR="00707DD6"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="00585043" w:rsidRPr="00FF2EE0">
        <w:rPr>
          <w:rFonts w:ascii="Times New Roman" w:hAnsi="Times New Roman" w:cs="Times New Roman"/>
          <w:sz w:val="24"/>
          <w:szCs w:val="24"/>
        </w:rPr>
        <w:t>EUR</w:t>
      </w:r>
    </w:p>
    <w:p w:rsidR="00EC2872" w:rsidRPr="00FF2EE0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Planirano u 202</w:t>
      </w:r>
      <w:r w:rsidR="00F86312" w:rsidRPr="00FF2EE0">
        <w:rPr>
          <w:rFonts w:ascii="Times New Roman" w:hAnsi="Times New Roman" w:cs="Times New Roman"/>
          <w:sz w:val="24"/>
          <w:szCs w:val="24"/>
        </w:rPr>
        <w:t>5</w:t>
      </w:r>
      <w:r w:rsidRPr="00FF2EE0">
        <w:rPr>
          <w:rFonts w:ascii="Times New Roman" w:hAnsi="Times New Roman" w:cs="Times New Roman"/>
          <w:sz w:val="24"/>
          <w:szCs w:val="24"/>
        </w:rPr>
        <w:t>.</w:t>
      </w:r>
      <w:r w:rsidR="004850F1" w:rsidRPr="00FF2EE0">
        <w:rPr>
          <w:rFonts w:ascii="Times New Roman" w:hAnsi="Times New Roman" w:cs="Times New Roman"/>
          <w:sz w:val="24"/>
          <w:szCs w:val="24"/>
        </w:rPr>
        <w:t xml:space="preserve"> godini </w:t>
      </w:r>
      <w:r w:rsidRPr="00FF2EE0">
        <w:rPr>
          <w:rFonts w:ascii="Times New Roman" w:hAnsi="Times New Roman" w:cs="Times New Roman"/>
          <w:sz w:val="24"/>
          <w:szCs w:val="24"/>
        </w:rPr>
        <w:t>u iznosu</w:t>
      </w:r>
      <w:r w:rsidR="001A5D7B" w:rsidRPr="00FF2EE0">
        <w:rPr>
          <w:rFonts w:ascii="Times New Roman" w:hAnsi="Times New Roman" w:cs="Times New Roman"/>
          <w:sz w:val="24"/>
          <w:szCs w:val="24"/>
        </w:rPr>
        <w:t xml:space="preserve"> od</w:t>
      </w:r>
      <w:r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="00CF4F8D" w:rsidRPr="00FF2EE0">
        <w:rPr>
          <w:rFonts w:ascii="Times New Roman" w:hAnsi="Times New Roman" w:cs="Times New Roman"/>
          <w:sz w:val="24"/>
          <w:szCs w:val="24"/>
        </w:rPr>
        <w:t>1.</w:t>
      </w:r>
      <w:r w:rsidR="00B96AB3">
        <w:rPr>
          <w:rFonts w:ascii="Times New Roman" w:hAnsi="Times New Roman" w:cs="Times New Roman"/>
          <w:sz w:val="24"/>
          <w:szCs w:val="24"/>
        </w:rPr>
        <w:t>971.074</w:t>
      </w:r>
      <w:r w:rsidR="00CF4F8D"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="00585043" w:rsidRPr="00FF2EE0">
        <w:rPr>
          <w:rFonts w:ascii="Times New Roman" w:hAnsi="Times New Roman" w:cs="Times New Roman"/>
          <w:sz w:val="24"/>
          <w:szCs w:val="24"/>
        </w:rPr>
        <w:t>EUR</w:t>
      </w:r>
    </w:p>
    <w:p w:rsidR="00EC2872" w:rsidRPr="00FF2EE0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Planirano u 202</w:t>
      </w:r>
      <w:r w:rsidR="00F86312" w:rsidRPr="00FF2EE0">
        <w:rPr>
          <w:rFonts w:ascii="Times New Roman" w:hAnsi="Times New Roman" w:cs="Times New Roman"/>
          <w:sz w:val="24"/>
          <w:szCs w:val="24"/>
        </w:rPr>
        <w:t>6</w:t>
      </w:r>
      <w:r w:rsidRPr="00FF2EE0">
        <w:rPr>
          <w:rFonts w:ascii="Times New Roman" w:hAnsi="Times New Roman" w:cs="Times New Roman"/>
          <w:sz w:val="24"/>
          <w:szCs w:val="24"/>
        </w:rPr>
        <w:t>.</w:t>
      </w:r>
      <w:r w:rsidR="004850F1" w:rsidRPr="00FF2EE0">
        <w:rPr>
          <w:rFonts w:ascii="Times New Roman" w:hAnsi="Times New Roman" w:cs="Times New Roman"/>
          <w:sz w:val="24"/>
          <w:szCs w:val="24"/>
        </w:rPr>
        <w:t xml:space="preserve"> godini </w:t>
      </w:r>
      <w:r w:rsidRPr="00FF2EE0">
        <w:rPr>
          <w:rFonts w:ascii="Times New Roman" w:hAnsi="Times New Roman" w:cs="Times New Roman"/>
          <w:sz w:val="24"/>
          <w:szCs w:val="24"/>
        </w:rPr>
        <w:t>u iznosu</w:t>
      </w:r>
      <w:r w:rsidR="001A5D7B" w:rsidRPr="00FF2EE0">
        <w:rPr>
          <w:rFonts w:ascii="Times New Roman" w:hAnsi="Times New Roman" w:cs="Times New Roman"/>
          <w:sz w:val="24"/>
          <w:szCs w:val="24"/>
        </w:rPr>
        <w:t xml:space="preserve"> od</w:t>
      </w:r>
      <w:r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="00CF4F8D" w:rsidRPr="00FF2EE0">
        <w:rPr>
          <w:rFonts w:ascii="Times New Roman" w:hAnsi="Times New Roman" w:cs="Times New Roman"/>
          <w:sz w:val="24"/>
          <w:szCs w:val="24"/>
        </w:rPr>
        <w:t>1.</w:t>
      </w:r>
      <w:r w:rsidR="00B96AB3">
        <w:rPr>
          <w:rFonts w:ascii="Times New Roman" w:hAnsi="Times New Roman" w:cs="Times New Roman"/>
          <w:sz w:val="24"/>
          <w:szCs w:val="24"/>
        </w:rPr>
        <w:t>980.100</w:t>
      </w:r>
      <w:r w:rsidR="00CF4F8D"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="00585043" w:rsidRPr="00FF2EE0">
        <w:rPr>
          <w:rFonts w:ascii="Times New Roman" w:hAnsi="Times New Roman" w:cs="Times New Roman"/>
          <w:sz w:val="24"/>
          <w:szCs w:val="24"/>
        </w:rPr>
        <w:t>EUR</w:t>
      </w:r>
    </w:p>
    <w:p w:rsidR="00F46BC6" w:rsidRPr="00FF2EE0" w:rsidRDefault="00F46BC6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CB1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2. Materijaln</w:t>
      </w:r>
      <w:r w:rsidR="0029186B" w:rsidRPr="00FF2EE0">
        <w:rPr>
          <w:rFonts w:ascii="Times New Roman" w:hAnsi="Times New Roman" w:cs="Times New Roman"/>
          <w:sz w:val="24"/>
          <w:szCs w:val="24"/>
        </w:rPr>
        <w:t>i rashodi:</w:t>
      </w:r>
    </w:p>
    <w:p w:rsidR="00EC2872" w:rsidRPr="00FF2EE0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2EE0">
        <w:rPr>
          <w:rFonts w:ascii="Times New Roman" w:hAnsi="Times New Roman" w:cs="Times New Roman"/>
          <w:sz w:val="24"/>
          <w:szCs w:val="24"/>
        </w:rPr>
        <w:t>Planirano u 202</w:t>
      </w:r>
      <w:r w:rsidR="00F86312" w:rsidRPr="00FF2EE0">
        <w:rPr>
          <w:rFonts w:ascii="Times New Roman" w:hAnsi="Times New Roman" w:cs="Times New Roman"/>
          <w:sz w:val="24"/>
          <w:szCs w:val="24"/>
        </w:rPr>
        <w:t>4</w:t>
      </w:r>
      <w:r w:rsidRPr="00FF2EE0">
        <w:rPr>
          <w:rFonts w:ascii="Times New Roman" w:hAnsi="Times New Roman" w:cs="Times New Roman"/>
          <w:sz w:val="24"/>
          <w:szCs w:val="24"/>
        </w:rPr>
        <w:t>.</w:t>
      </w:r>
      <w:r w:rsidR="004850F1" w:rsidRPr="00FF2EE0">
        <w:rPr>
          <w:rFonts w:ascii="Times New Roman" w:hAnsi="Times New Roman" w:cs="Times New Roman"/>
          <w:sz w:val="24"/>
          <w:szCs w:val="24"/>
        </w:rPr>
        <w:t xml:space="preserve"> godini</w:t>
      </w:r>
      <w:r w:rsidRPr="00FF2EE0">
        <w:rPr>
          <w:rFonts w:ascii="Times New Roman" w:hAnsi="Times New Roman" w:cs="Times New Roman"/>
          <w:sz w:val="24"/>
          <w:szCs w:val="24"/>
        </w:rPr>
        <w:t xml:space="preserve"> u iznosu</w:t>
      </w:r>
      <w:r w:rsidR="001A5D7B" w:rsidRPr="00FF2EE0">
        <w:rPr>
          <w:rFonts w:ascii="Times New Roman" w:hAnsi="Times New Roman" w:cs="Times New Roman"/>
          <w:sz w:val="24"/>
          <w:szCs w:val="24"/>
        </w:rPr>
        <w:t xml:space="preserve"> od</w:t>
      </w:r>
      <w:r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="00B96AB3">
        <w:rPr>
          <w:rFonts w:ascii="Times New Roman" w:hAnsi="Times New Roman" w:cs="Times New Roman"/>
          <w:sz w:val="24"/>
          <w:szCs w:val="24"/>
        </w:rPr>
        <w:t xml:space="preserve">73.333 </w:t>
      </w:r>
      <w:r w:rsidR="00585043" w:rsidRPr="00FF2EE0">
        <w:rPr>
          <w:rFonts w:ascii="Times New Roman" w:hAnsi="Times New Roman" w:cs="Times New Roman"/>
          <w:sz w:val="24"/>
          <w:szCs w:val="24"/>
        </w:rPr>
        <w:t>EUR</w:t>
      </w:r>
    </w:p>
    <w:p w:rsidR="00EC2872" w:rsidRPr="00FF2EE0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Planirano u 202</w:t>
      </w:r>
      <w:r w:rsidR="00F86312" w:rsidRPr="00FF2EE0">
        <w:rPr>
          <w:rFonts w:ascii="Times New Roman" w:hAnsi="Times New Roman" w:cs="Times New Roman"/>
          <w:sz w:val="24"/>
          <w:szCs w:val="24"/>
        </w:rPr>
        <w:t>5</w:t>
      </w:r>
      <w:r w:rsidRPr="00FF2EE0">
        <w:rPr>
          <w:rFonts w:ascii="Times New Roman" w:hAnsi="Times New Roman" w:cs="Times New Roman"/>
          <w:sz w:val="24"/>
          <w:szCs w:val="24"/>
        </w:rPr>
        <w:t>.</w:t>
      </w:r>
      <w:r w:rsidR="004850F1"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Pr="00FF2EE0">
        <w:rPr>
          <w:rFonts w:ascii="Times New Roman" w:hAnsi="Times New Roman" w:cs="Times New Roman"/>
          <w:sz w:val="24"/>
          <w:szCs w:val="24"/>
        </w:rPr>
        <w:t>g</w:t>
      </w:r>
      <w:r w:rsidR="004850F1" w:rsidRPr="00FF2EE0">
        <w:rPr>
          <w:rFonts w:ascii="Times New Roman" w:hAnsi="Times New Roman" w:cs="Times New Roman"/>
          <w:sz w:val="24"/>
          <w:szCs w:val="24"/>
        </w:rPr>
        <w:t>odini</w:t>
      </w:r>
      <w:r w:rsidRPr="00FF2EE0">
        <w:rPr>
          <w:rFonts w:ascii="Times New Roman" w:hAnsi="Times New Roman" w:cs="Times New Roman"/>
          <w:sz w:val="24"/>
          <w:szCs w:val="24"/>
        </w:rPr>
        <w:t xml:space="preserve"> u iznosu</w:t>
      </w:r>
      <w:r w:rsidR="001A5D7B" w:rsidRPr="00FF2EE0">
        <w:rPr>
          <w:rFonts w:ascii="Times New Roman" w:hAnsi="Times New Roman" w:cs="Times New Roman"/>
          <w:sz w:val="24"/>
          <w:szCs w:val="24"/>
        </w:rPr>
        <w:t xml:space="preserve"> od</w:t>
      </w:r>
      <w:r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="00B96AB3">
        <w:rPr>
          <w:rFonts w:ascii="Times New Roman" w:hAnsi="Times New Roman" w:cs="Times New Roman"/>
          <w:sz w:val="24"/>
          <w:szCs w:val="24"/>
        </w:rPr>
        <w:t xml:space="preserve">73.333 </w:t>
      </w:r>
      <w:r w:rsidR="00B96AB3" w:rsidRPr="00FF2EE0">
        <w:rPr>
          <w:rFonts w:ascii="Times New Roman" w:hAnsi="Times New Roman" w:cs="Times New Roman"/>
          <w:sz w:val="24"/>
          <w:szCs w:val="24"/>
        </w:rPr>
        <w:t>EUR</w:t>
      </w: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Planirano u 202</w:t>
      </w:r>
      <w:r w:rsidR="00F86312" w:rsidRPr="00FF2EE0">
        <w:rPr>
          <w:rFonts w:ascii="Times New Roman" w:hAnsi="Times New Roman" w:cs="Times New Roman"/>
          <w:sz w:val="24"/>
          <w:szCs w:val="24"/>
        </w:rPr>
        <w:t>6</w:t>
      </w:r>
      <w:r w:rsidRPr="00FF2EE0">
        <w:rPr>
          <w:rFonts w:ascii="Times New Roman" w:hAnsi="Times New Roman" w:cs="Times New Roman"/>
          <w:sz w:val="24"/>
          <w:szCs w:val="24"/>
        </w:rPr>
        <w:t>.</w:t>
      </w:r>
      <w:r w:rsidR="004850F1"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Pr="00FF2EE0">
        <w:rPr>
          <w:rFonts w:ascii="Times New Roman" w:hAnsi="Times New Roman" w:cs="Times New Roman"/>
          <w:sz w:val="24"/>
          <w:szCs w:val="24"/>
        </w:rPr>
        <w:t>g</w:t>
      </w:r>
      <w:r w:rsidR="004850F1" w:rsidRPr="00FF2EE0">
        <w:rPr>
          <w:rFonts w:ascii="Times New Roman" w:hAnsi="Times New Roman" w:cs="Times New Roman"/>
          <w:sz w:val="24"/>
          <w:szCs w:val="24"/>
        </w:rPr>
        <w:t>odini</w:t>
      </w:r>
      <w:r w:rsidRPr="00FF2EE0">
        <w:rPr>
          <w:rFonts w:ascii="Times New Roman" w:hAnsi="Times New Roman" w:cs="Times New Roman"/>
          <w:sz w:val="24"/>
          <w:szCs w:val="24"/>
        </w:rPr>
        <w:t xml:space="preserve"> u iznosu</w:t>
      </w:r>
      <w:r w:rsidR="001A5D7B" w:rsidRPr="00FF2EE0">
        <w:rPr>
          <w:rFonts w:ascii="Times New Roman" w:hAnsi="Times New Roman" w:cs="Times New Roman"/>
          <w:sz w:val="24"/>
          <w:szCs w:val="24"/>
        </w:rPr>
        <w:t xml:space="preserve"> od</w:t>
      </w:r>
      <w:r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="00B96AB3">
        <w:rPr>
          <w:rFonts w:ascii="Times New Roman" w:hAnsi="Times New Roman" w:cs="Times New Roman"/>
          <w:sz w:val="24"/>
          <w:szCs w:val="24"/>
        </w:rPr>
        <w:t xml:space="preserve">73.333 </w:t>
      </w:r>
      <w:r w:rsidR="00B96AB3" w:rsidRPr="00FF2EE0">
        <w:rPr>
          <w:rFonts w:ascii="Times New Roman" w:hAnsi="Times New Roman" w:cs="Times New Roman"/>
          <w:sz w:val="24"/>
          <w:szCs w:val="24"/>
        </w:rPr>
        <w:t>EUR</w:t>
      </w:r>
      <w:r w:rsidR="00B96AB3">
        <w:rPr>
          <w:rFonts w:ascii="Times New Roman" w:hAnsi="Times New Roman" w:cs="Times New Roman"/>
          <w:sz w:val="24"/>
          <w:szCs w:val="24"/>
        </w:rPr>
        <w:t>.</w:t>
      </w:r>
    </w:p>
    <w:p w:rsidR="00F46BC6" w:rsidRPr="00FF2EE0" w:rsidRDefault="00F46BC6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849" w:rsidRPr="00FF2EE0" w:rsidRDefault="0053306E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Sukladno Uredbi o </w:t>
      </w:r>
      <w:r w:rsidR="003C1268" w:rsidRPr="00FF2EE0">
        <w:rPr>
          <w:rFonts w:ascii="Times New Roman" w:hAnsi="Times New Roman" w:cs="Times New Roman"/>
          <w:sz w:val="24"/>
          <w:szCs w:val="24"/>
        </w:rPr>
        <w:t>p</w:t>
      </w:r>
      <w:r w:rsidRPr="00FF2EE0">
        <w:rPr>
          <w:rFonts w:ascii="Times New Roman" w:hAnsi="Times New Roman" w:cs="Times New Roman"/>
          <w:sz w:val="24"/>
          <w:szCs w:val="24"/>
        </w:rPr>
        <w:t xml:space="preserve">rogramskom financiranju javnih visokih učilišta i javnih znanstvenih instituta u Republici Hrvatskoj od 13. srpanja 2023. (NN 78/2023) </w:t>
      </w:r>
      <w:r w:rsidR="000F3F75">
        <w:rPr>
          <w:rFonts w:ascii="Times New Roman" w:hAnsi="Times New Roman" w:cs="Times New Roman"/>
          <w:sz w:val="24"/>
          <w:szCs w:val="24"/>
        </w:rPr>
        <w:t>Institut je napravio</w:t>
      </w:r>
      <w:r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="00CA2E2C" w:rsidRPr="00FF2EE0">
        <w:rPr>
          <w:rFonts w:ascii="Times New Roman" w:hAnsi="Times New Roman" w:cs="Times New Roman"/>
          <w:sz w:val="24"/>
          <w:szCs w:val="24"/>
        </w:rPr>
        <w:t xml:space="preserve">Prijedlog razvojne i izvedbene komponente </w:t>
      </w:r>
      <w:r w:rsidR="00B271E1" w:rsidRPr="00FF2EE0">
        <w:rPr>
          <w:rFonts w:ascii="Times New Roman" w:hAnsi="Times New Roman" w:cs="Times New Roman"/>
          <w:sz w:val="24"/>
          <w:szCs w:val="24"/>
        </w:rPr>
        <w:t xml:space="preserve">programskog financiranja nakon čega </w:t>
      </w:r>
      <w:r w:rsidR="000F3F75">
        <w:rPr>
          <w:rFonts w:ascii="Times New Roman" w:hAnsi="Times New Roman" w:cs="Times New Roman"/>
          <w:sz w:val="24"/>
          <w:szCs w:val="24"/>
        </w:rPr>
        <w:t>su započeli</w:t>
      </w:r>
      <w:r w:rsidRPr="00FF2EE0">
        <w:rPr>
          <w:rFonts w:ascii="Times New Roman" w:hAnsi="Times New Roman" w:cs="Times New Roman"/>
          <w:sz w:val="24"/>
          <w:szCs w:val="24"/>
        </w:rPr>
        <w:t xml:space="preserve"> pregovori o sklapanju </w:t>
      </w:r>
      <w:r w:rsidR="00B271E1" w:rsidRPr="00FF2EE0">
        <w:rPr>
          <w:rFonts w:ascii="Times New Roman" w:hAnsi="Times New Roman" w:cs="Times New Roman"/>
          <w:sz w:val="24"/>
          <w:szCs w:val="24"/>
        </w:rPr>
        <w:t>programskog ugovora s</w:t>
      </w:r>
      <w:r w:rsidRPr="00FF2EE0">
        <w:rPr>
          <w:rFonts w:ascii="Times New Roman" w:hAnsi="Times New Roman" w:cs="Times New Roman"/>
          <w:sz w:val="24"/>
          <w:szCs w:val="24"/>
        </w:rPr>
        <w:t xml:space="preserve"> Ministarstvom znanosti i obrazovanja.</w:t>
      </w: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2C" w:rsidRPr="00FF2EE0" w:rsidRDefault="0053306E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Dosadašnja aktivnost A622137 – Programsko financiranje javnih instituta</w:t>
      </w:r>
      <w:r w:rsidR="0087623C">
        <w:rPr>
          <w:rFonts w:ascii="Times New Roman" w:hAnsi="Times New Roman" w:cs="Times New Roman"/>
          <w:sz w:val="24"/>
          <w:szCs w:val="24"/>
        </w:rPr>
        <w:t xml:space="preserve"> </w:t>
      </w:r>
      <w:r w:rsidR="00EC2872" w:rsidRPr="00FF2EE0">
        <w:rPr>
          <w:rFonts w:ascii="Times New Roman" w:hAnsi="Times New Roman" w:cs="Times New Roman"/>
          <w:sz w:val="24"/>
          <w:szCs w:val="24"/>
        </w:rPr>
        <w:t>sastoji se od sljedećih elemenata:</w:t>
      </w:r>
    </w:p>
    <w:p w:rsidR="00EC2872" w:rsidRPr="00FF2EE0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1. Hladni pogon;</w:t>
      </w:r>
    </w:p>
    <w:p w:rsidR="00EC2872" w:rsidRPr="00FF2EE0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2. Financiranje znanstvene djelatnosti (sukladno čl.</w:t>
      </w:r>
      <w:r w:rsidR="00EF0B53"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Pr="00FF2EE0">
        <w:rPr>
          <w:rFonts w:ascii="Times New Roman" w:hAnsi="Times New Roman" w:cs="Times New Roman"/>
          <w:sz w:val="24"/>
          <w:szCs w:val="24"/>
        </w:rPr>
        <w:t>5. Ugovora o programskom financiranju);</w:t>
      </w:r>
    </w:p>
    <w:p w:rsidR="00EC2872" w:rsidRPr="00FF2EE0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3. Financiranje specifičnih institucijskih ciljeva Instituta (objavljivanje znanstvenog  časopisa       Poljoprivreda, poticanje publiciranja u prestižnim časopisima, popularizacija znanosti vezano uz aktivnost Instituta, realizacija nacionalnih strategija i prioriteta u znanosti i gospodarstvu kroz djelatnost Instituta).</w:t>
      </w:r>
    </w:p>
    <w:p w:rsidR="00EC2872" w:rsidRPr="00FF2EE0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Provedba ove aktivnosti započela je 2013. godine te se od tada provodi svake godine temeljem ugovora o programskom financir</w:t>
      </w:r>
      <w:r w:rsidR="003C1268" w:rsidRPr="00FF2EE0">
        <w:rPr>
          <w:rFonts w:ascii="Times New Roman" w:hAnsi="Times New Roman" w:cs="Times New Roman"/>
          <w:sz w:val="24"/>
          <w:szCs w:val="24"/>
        </w:rPr>
        <w:t>anju znanstvene djelatnosti kojeg</w:t>
      </w:r>
      <w:r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="00983613">
        <w:rPr>
          <w:rFonts w:ascii="Times New Roman" w:hAnsi="Times New Roman" w:cs="Times New Roman"/>
          <w:sz w:val="24"/>
          <w:szCs w:val="24"/>
        </w:rPr>
        <w:t xml:space="preserve">zaključuju </w:t>
      </w:r>
      <w:r w:rsidRPr="00FF2EE0">
        <w:rPr>
          <w:rFonts w:ascii="Times New Roman" w:hAnsi="Times New Roman" w:cs="Times New Roman"/>
          <w:sz w:val="24"/>
          <w:szCs w:val="24"/>
        </w:rPr>
        <w:t xml:space="preserve">Ministarstvo znanosti i obrazovanja i </w:t>
      </w:r>
      <w:r w:rsidR="00B068D5" w:rsidRPr="00FF2EE0">
        <w:rPr>
          <w:rFonts w:ascii="Times New Roman" w:hAnsi="Times New Roman" w:cs="Times New Roman"/>
          <w:sz w:val="24"/>
          <w:szCs w:val="24"/>
        </w:rPr>
        <w:t>Poljoprivredni institut Osijek</w:t>
      </w:r>
      <w:r w:rsidR="00983613">
        <w:rPr>
          <w:rFonts w:ascii="Times New Roman" w:hAnsi="Times New Roman" w:cs="Times New Roman"/>
          <w:sz w:val="24"/>
          <w:szCs w:val="24"/>
        </w:rPr>
        <w:t>.</w:t>
      </w:r>
    </w:p>
    <w:p w:rsidR="008D4FFC" w:rsidRPr="00FF2EE0" w:rsidRDefault="008D4FFC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A0D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Nastavno su prikazani institucijski ciljevi i rezultati koji su predviđeni</w:t>
      </w:r>
      <w:r w:rsidR="00547AA6"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="00CA2E2C" w:rsidRPr="00FF2EE0">
        <w:rPr>
          <w:rFonts w:ascii="Times New Roman" w:hAnsi="Times New Roman" w:cs="Times New Roman"/>
          <w:sz w:val="24"/>
          <w:szCs w:val="24"/>
        </w:rPr>
        <w:t>starim p</w:t>
      </w:r>
      <w:r w:rsidRPr="00FF2EE0">
        <w:rPr>
          <w:rFonts w:ascii="Times New Roman" w:hAnsi="Times New Roman" w:cs="Times New Roman"/>
          <w:sz w:val="24"/>
          <w:szCs w:val="24"/>
        </w:rPr>
        <w:t>rogramskim ugovorom u predstojećem planskom razdoblju programskog financiranja.</w:t>
      </w:r>
      <w:r w:rsidR="003C1268" w:rsidRPr="00FF2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68" w:rsidRPr="00FF2EE0" w:rsidRDefault="003C1268" w:rsidP="00CA2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Nakon sklapanja novog ugovora o programskom financiranju redefinirat će se planirani iznosi, </w:t>
      </w:r>
      <w:r w:rsidR="00CA2E2C" w:rsidRPr="00FF2EE0">
        <w:rPr>
          <w:rFonts w:ascii="Times New Roman" w:hAnsi="Times New Roman" w:cs="Times New Roman"/>
          <w:sz w:val="24"/>
          <w:szCs w:val="24"/>
        </w:rPr>
        <w:t xml:space="preserve">strateški i posebni </w:t>
      </w:r>
      <w:r w:rsidRPr="00FF2EE0">
        <w:rPr>
          <w:rFonts w:ascii="Times New Roman" w:hAnsi="Times New Roman" w:cs="Times New Roman"/>
          <w:sz w:val="24"/>
          <w:szCs w:val="24"/>
        </w:rPr>
        <w:t xml:space="preserve">ciljevi </w:t>
      </w:r>
      <w:r w:rsidR="00CA2E2C" w:rsidRPr="00FF2EE0">
        <w:rPr>
          <w:rFonts w:ascii="Times New Roman" w:hAnsi="Times New Roman" w:cs="Times New Roman"/>
          <w:sz w:val="24"/>
          <w:szCs w:val="24"/>
        </w:rPr>
        <w:t>te</w:t>
      </w:r>
      <w:r w:rsidRPr="00FF2EE0">
        <w:rPr>
          <w:rFonts w:ascii="Times New Roman" w:hAnsi="Times New Roman" w:cs="Times New Roman"/>
          <w:sz w:val="24"/>
          <w:szCs w:val="24"/>
        </w:rPr>
        <w:t xml:space="preserve"> pokazatelji rezultata </w:t>
      </w:r>
      <w:r w:rsidR="00CA2E2C" w:rsidRPr="00FF2EE0">
        <w:rPr>
          <w:rFonts w:ascii="Times New Roman" w:hAnsi="Times New Roman" w:cs="Times New Roman"/>
          <w:sz w:val="24"/>
          <w:szCs w:val="24"/>
        </w:rPr>
        <w:t xml:space="preserve"> i pokazatelji ishoda </w:t>
      </w:r>
      <w:r w:rsidRPr="00FF2EE0">
        <w:rPr>
          <w:rFonts w:ascii="Times New Roman" w:hAnsi="Times New Roman" w:cs="Times New Roman"/>
          <w:sz w:val="24"/>
          <w:szCs w:val="24"/>
        </w:rPr>
        <w:t>sukladno istom.</w:t>
      </w:r>
    </w:p>
    <w:p w:rsidR="00F46BC6" w:rsidRPr="00FF2EE0" w:rsidRDefault="00F46BC6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BC6" w:rsidRPr="00FF2EE0" w:rsidRDefault="00F46BC6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BC6" w:rsidRDefault="00F46BC6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3C" w:rsidRPr="00FF2EE0" w:rsidRDefault="0087623C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BC6" w:rsidRPr="00FF2EE0" w:rsidRDefault="00F46BC6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559"/>
        <w:gridCol w:w="1276"/>
        <w:gridCol w:w="810"/>
        <w:gridCol w:w="1175"/>
        <w:gridCol w:w="992"/>
        <w:gridCol w:w="1134"/>
        <w:gridCol w:w="1175"/>
      </w:tblGrid>
      <w:tr w:rsidR="002B6615" w:rsidRPr="00FF2EE0" w:rsidTr="00467F05">
        <w:tc>
          <w:tcPr>
            <w:tcW w:w="1281" w:type="dxa"/>
            <w:shd w:val="clear" w:color="auto" w:fill="D8D8D8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lastRenderedPageBreak/>
              <w:t>Pokazatelj rezultata</w:t>
            </w:r>
          </w:p>
        </w:tc>
        <w:tc>
          <w:tcPr>
            <w:tcW w:w="1559" w:type="dxa"/>
            <w:shd w:val="clear" w:color="auto" w:fill="D8D8D8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Definicija</w:t>
            </w:r>
          </w:p>
        </w:tc>
        <w:tc>
          <w:tcPr>
            <w:tcW w:w="1276" w:type="dxa"/>
            <w:shd w:val="clear" w:color="auto" w:fill="D8D8D8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Jedinica</w:t>
            </w:r>
          </w:p>
        </w:tc>
        <w:tc>
          <w:tcPr>
            <w:tcW w:w="810" w:type="dxa"/>
            <w:shd w:val="clear" w:color="auto" w:fill="D8D8D8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Polazna vrijednost</w:t>
            </w:r>
          </w:p>
        </w:tc>
        <w:tc>
          <w:tcPr>
            <w:tcW w:w="1175" w:type="dxa"/>
            <w:shd w:val="clear" w:color="auto" w:fill="D8D8D8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Izvor podataka</w:t>
            </w:r>
          </w:p>
        </w:tc>
        <w:tc>
          <w:tcPr>
            <w:tcW w:w="992" w:type="dxa"/>
            <w:shd w:val="clear" w:color="auto" w:fill="D8D8D8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Ciljana vrijednost za 2024.</w:t>
            </w:r>
          </w:p>
        </w:tc>
        <w:tc>
          <w:tcPr>
            <w:tcW w:w="1134" w:type="dxa"/>
            <w:shd w:val="clear" w:color="auto" w:fill="D8D8D8"/>
          </w:tcPr>
          <w:p w:rsidR="002B6615" w:rsidRPr="00FF2EE0" w:rsidRDefault="002B6615" w:rsidP="00467F0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 xml:space="preserve">Ciljana vrijednost </w:t>
            </w:r>
          </w:p>
          <w:p w:rsidR="002B6615" w:rsidRPr="00FF2EE0" w:rsidRDefault="002B6615" w:rsidP="00467F0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za 2025.</w:t>
            </w:r>
          </w:p>
        </w:tc>
        <w:tc>
          <w:tcPr>
            <w:tcW w:w="1175" w:type="dxa"/>
            <w:shd w:val="clear" w:color="auto" w:fill="D8D8D8"/>
          </w:tcPr>
          <w:p w:rsidR="002B6615" w:rsidRPr="00FF2EE0" w:rsidRDefault="002B6615" w:rsidP="00467F0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 xml:space="preserve">Ciljana vrijednost </w:t>
            </w:r>
          </w:p>
          <w:p w:rsidR="002B6615" w:rsidRPr="00FF2EE0" w:rsidRDefault="002B6615" w:rsidP="00467F0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za 2026.</w:t>
            </w:r>
          </w:p>
        </w:tc>
      </w:tr>
      <w:tr w:rsidR="002B6615" w:rsidRPr="00FF2EE0" w:rsidTr="00467F05"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Broj objavljenih znanstvenih radova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STEM znanstveni radovi uvedeni u bazu WOS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Broj</w:t>
            </w: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(kumulativno)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(2022.)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Baza</w:t>
            </w: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Web of Science</w:t>
            </w: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(WoS)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B6615" w:rsidRPr="00FF2EE0" w:rsidTr="00467F05"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Broj ugovorenih projekata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Ugovoreni znanstveni projekti na nacionalnoj, međunarodnoj i internoj razini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Broj (kumulativno)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 xml:space="preserve"> 11</w:t>
            </w: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(2022.)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MZO</w:t>
            </w: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PIO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615" w:rsidRPr="00FF2EE0" w:rsidTr="00467F05">
        <w:tc>
          <w:tcPr>
            <w:tcW w:w="1281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Broj objavljenih brojeva znanstvenog časopisa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Objavljivanje znanstvenog časopisa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Broj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(2022.)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FAZOS</w:t>
            </w:r>
            <w:r w:rsidRPr="00FF2EE0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PIO</w:t>
            </w: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WoS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B6615" w:rsidRPr="00FF2EE0" w:rsidTr="00467F05">
        <w:tc>
          <w:tcPr>
            <w:tcW w:w="1281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Broj dodijeljenih financijskih potpora za publiciranje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Poticanje publiciranja u prestižnim časopisima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Broj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(2022.)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WoS</w:t>
            </w: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PIO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B6615" w:rsidRPr="00FF2EE0" w:rsidTr="00467F05">
        <w:tc>
          <w:tcPr>
            <w:tcW w:w="1281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Broj aktivnosti vezanih uz popularizaciju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Popularizacija znanosti vezano uz aktivnosti Instituta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Broj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(2022.)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PIO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B6615" w:rsidRPr="00FF2EE0" w:rsidTr="00467F05">
        <w:tc>
          <w:tcPr>
            <w:tcW w:w="1281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Broj registriranih kultivara prilagođenih sustavu održive poljoprivredne proizvodnje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Realizacija nacionalnih strategija i prioriteta u znanosti i gospodarstvu kroz djelatnost Instituta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Broj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(2022.)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PIO</w:t>
            </w: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Ministarstvo poljoprivrede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B6615" w:rsidRPr="00FF2EE0" w:rsidTr="00467F05"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Broj registriranih kultivara sukladno zahtijevima prehrambene I prerađivačke industrije vezano uz namjensku kakvoću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Realizacija nacionalnih strategija i prioriteta u znanosti i gospodarstvu kroz djelatnost Instituta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Broj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(2022.)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PIO</w:t>
            </w:r>
          </w:p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Ministarstvo poljoprivrede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615" w:rsidRPr="00FF2EE0" w:rsidRDefault="002B6615" w:rsidP="00467F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2B6615" w:rsidRPr="00FF2EE0" w:rsidRDefault="002B6615" w:rsidP="002B6615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2B6615" w:rsidRPr="00FF2EE0" w:rsidRDefault="002B6615" w:rsidP="002B6615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F2EE0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FF2EE0">
        <w:rPr>
          <w:rFonts w:ascii="Times New Roman" w:hAnsi="Times New Roman"/>
          <w:sz w:val="20"/>
          <w:szCs w:val="20"/>
        </w:rPr>
        <w:t>FAZOS – Fakultet agrobiotehničkih znanosti Osijek, PIO- Poljoprivredni institut Osijek</w:t>
      </w:r>
    </w:p>
    <w:p w:rsidR="00EC2872" w:rsidRPr="00FF2EE0" w:rsidRDefault="008D23EE" w:rsidP="003C1DE5">
      <w:pPr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B271E1" w:rsidRPr="00FF2EE0">
        <w:rPr>
          <w:rFonts w:ascii="Times New Roman" w:hAnsi="Times New Roman" w:cs="Times New Roman"/>
          <w:b/>
          <w:sz w:val="24"/>
          <w:szCs w:val="24"/>
        </w:rPr>
        <w:t>A444444</w:t>
      </w:r>
      <w:r w:rsidR="00EC2872" w:rsidRPr="00FF2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1E1" w:rsidRPr="00FF2EE0">
        <w:rPr>
          <w:rFonts w:ascii="Times New Roman" w:hAnsi="Times New Roman" w:cs="Times New Roman"/>
          <w:b/>
          <w:sz w:val="24"/>
          <w:szCs w:val="24"/>
        </w:rPr>
        <w:t>SAMOSTALNA</w:t>
      </w:r>
      <w:r w:rsidR="00EC2872" w:rsidRPr="00FF2EE0">
        <w:rPr>
          <w:rFonts w:ascii="Times New Roman" w:hAnsi="Times New Roman" w:cs="Times New Roman"/>
          <w:b/>
          <w:sz w:val="24"/>
          <w:szCs w:val="24"/>
        </w:rPr>
        <w:t xml:space="preserve"> DJELATNOST JAVNIH INSTI</w:t>
      </w:r>
      <w:r>
        <w:rPr>
          <w:rFonts w:ascii="Times New Roman" w:hAnsi="Times New Roman" w:cs="Times New Roman"/>
          <w:b/>
          <w:sz w:val="24"/>
          <w:szCs w:val="24"/>
        </w:rPr>
        <w:t>TUTA (IZ EVIDENCIJSKIH PRIHODA); izvor 31, 51 i 52</w:t>
      </w:r>
    </w:p>
    <w:p w:rsidR="00C330D8" w:rsidRPr="00FF2EE0" w:rsidRDefault="00C330D8" w:rsidP="00CC2EE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872" w:rsidRPr="00FF2EE0" w:rsidRDefault="00EC2872" w:rsidP="00CC2E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Zakonske i druge pravne osnove</w:t>
      </w:r>
      <w:r w:rsidR="00564BE6" w:rsidRPr="00FF2EE0">
        <w:rPr>
          <w:rFonts w:ascii="Times New Roman" w:hAnsi="Times New Roman" w:cs="Times New Roman"/>
          <w:sz w:val="24"/>
          <w:szCs w:val="24"/>
        </w:rPr>
        <w:t>:</w:t>
      </w:r>
    </w:p>
    <w:p w:rsidR="00EC2872" w:rsidRPr="00FF2EE0" w:rsidRDefault="00EC2872" w:rsidP="00CC2E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- Zakon o znanstvenoj djelatnosti i visokom obrazovanju;</w:t>
      </w:r>
    </w:p>
    <w:p w:rsidR="00EC2872" w:rsidRPr="00FF2EE0" w:rsidRDefault="00EC2872" w:rsidP="00CC2E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- Zakon o ustanovama; </w:t>
      </w:r>
    </w:p>
    <w:p w:rsidR="00EC2872" w:rsidRPr="00FF2EE0" w:rsidRDefault="00EC2872" w:rsidP="00CC2E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- Zakon o osiguranju kvalitete u znanosti i visokom obrazovanju; </w:t>
      </w:r>
    </w:p>
    <w:p w:rsidR="00EC2872" w:rsidRPr="00FF2EE0" w:rsidRDefault="00EC2872" w:rsidP="00CC2E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- Nacionalna razvojna strategija Republike Hrvatske do 2030.; </w:t>
      </w:r>
    </w:p>
    <w:p w:rsidR="00EC2872" w:rsidRPr="00FF2EE0" w:rsidRDefault="00EC2872" w:rsidP="00CC2E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- Ugovor o programskom financiranju javnih znanstvenih instituta;</w:t>
      </w:r>
    </w:p>
    <w:p w:rsidR="00EC2872" w:rsidRPr="00FF2EE0" w:rsidRDefault="00EC2872" w:rsidP="00CC2E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- Statut Poljoprivrednog instituta Osijek;</w:t>
      </w:r>
    </w:p>
    <w:p w:rsidR="00EC2872" w:rsidRPr="00FF2EE0" w:rsidRDefault="00EC2872" w:rsidP="00CC2E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- Strateški program rada i razvoja Poljoprivrednog instituta Osijek za razdoblje </w:t>
      </w:r>
    </w:p>
    <w:p w:rsidR="00EC2872" w:rsidRPr="00FF2EE0" w:rsidRDefault="00EC2872" w:rsidP="00CC2E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  2021.-2025.</w:t>
      </w: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378"/>
        <w:gridCol w:w="1313"/>
        <w:gridCol w:w="1313"/>
        <w:gridCol w:w="1313"/>
        <w:gridCol w:w="1313"/>
      </w:tblGrid>
      <w:tr w:rsidR="00D53624" w:rsidRPr="00FF2EE0" w:rsidTr="005A777D">
        <w:tc>
          <w:tcPr>
            <w:tcW w:w="1706" w:type="dxa"/>
            <w:shd w:val="clear" w:color="auto" w:fill="D9D9D9" w:themeFill="background1" w:themeFillShade="D9"/>
          </w:tcPr>
          <w:p w:rsidR="00D53624" w:rsidRPr="00FF2EE0" w:rsidRDefault="00D53624" w:rsidP="005F716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624" w:rsidRPr="00FF2EE0" w:rsidRDefault="00D53624" w:rsidP="005F716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vAlign w:val="center"/>
          </w:tcPr>
          <w:p w:rsidR="00D53624" w:rsidRPr="00FF2EE0" w:rsidRDefault="00D53624" w:rsidP="00D536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Izvršenje 2022.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D53624" w:rsidRPr="00FF2EE0" w:rsidRDefault="00D53624" w:rsidP="00D536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2023.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D53624" w:rsidRPr="00FF2EE0" w:rsidRDefault="00D53624" w:rsidP="00D536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2024.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D53624" w:rsidRPr="00FF2EE0" w:rsidRDefault="00D53624" w:rsidP="00D536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2025.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D53624" w:rsidRPr="00FF2EE0" w:rsidRDefault="00D53624" w:rsidP="00D536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2026.</w:t>
            </w:r>
          </w:p>
        </w:tc>
      </w:tr>
      <w:tr w:rsidR="00D53624" w:rsidRPr="00FF2EE0" w:rsidTr="005A777D">
        <w:tc>
          <w:tcPr>
            <w:tcW w:w="1706" w:type="dxa"/>
          </w:tcPr>
          <w:p w:rsidR="001A5D7B" w:rsidRPr="00FF2EE0" w:rsidRDefault="001A5D7B" w:rsidP="001A5D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b/>
                <w:sz w:val="20"/>
                <w:szCs w:val="20"/>
              </w:rPr>
              <w:t>A444444</w:t>
            </w:r>
          </w:p>
          <w:p w:rsidR="00D53624" w:rsidRPr="00FF2EE0" w:rsidRDefault="001A5D7B" w:rsidP="001A5D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SAMOSTALNA</w:t>
            </w:r>
            <w:r w:rsidR="00D53624" w:rsidRPr="00FF2EE0">
              <w:rPr>
                <w:rFonts w:ascii="Times New Roman" w:hAnsi="Times New Roman" w:cs="Times New Roman"/>
                <w:sz w:val="20"/>
                <w:szCs w:val="20"/>
              </w:rPr>
              <w:t xml:space="preserve"> DJELATNOST JAVNIH INSTITUTA (IZ EVIDENCIJSKIH PRIHODA)</w:t>
            </w:r>
          </w:p>
        </w:tc>
        <w:tc>
          <w:tcPr>
            <w:tcW w:w="1378" w:type="dxa"/>
          </w:tcPr>
          <w:p w:rsidR="00D53624" w:rsidRPr="00FF2EE0" w:rsidRDefault="00C57359" w:rsidP="00090F0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14.250.127</w:t>
            </w:r>
          </w:p>
        </w:tc>
        <w:tc>
          <w:tcPr>
            <w:tcW w:w="1313" w:type="dxa"/>
            <w:shd w:val="clear" w:color="auto" w:fill="FFFFFF" w:themeFill="background1"/>
          </w:tcPr>
          <w:p w:rsidR="00D53624" w:rsidRPr="00FF2EE0" w:rsidRDefault="00C57359" w:rsidP="008A65B6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11.024.562</w:t>
            </w:r>
          </w:p>
        </w:tc>
        <w:tc>
          <w:tcPr>
            <w:tcW w:w="1313" w:type="dxa"/>
          </w:tcPr>
          <w:p w:rsidR="00D53624" w:rsidRPr="00FF2EE0" w:rsidRDefault="004F4A41" w:rsidP="00090F0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16.121.423</w:t>
            </w:r>
          </w:p>
        </w:tc>
        <w:tc>
          <w:tcPr>
            <w:tcW w:w="1313" w:type="dxa"/>
          </w:tcPr>
          <w:p w:rsidR="00D53624" w:rsidRPr="00FF2EE0" w:rsidRDefault="004F4A41" w:rsidP="00090F0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16.141.423</w:t>
            </w:r>
          </w:p>
        </w:tc>
        <w:tc>
          <w:tcPr>
            <w:tcW w:w="1313" w:type="dxa"/>
          </w:tcPr>
          <w:p w:rsidR="00D53624" w:rsidRPr="00FF2EE0" w:rsidRDefault="004F4A41" w:rsidP="00090F0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16.051.423</w:t>
            </w:r>
          </w:p>
        </w:tc>
      </w:tr>
    </w:tbl>
    <w:p w:rsidR="000B5C73" w:rsidRPr="00FF2EE0" w:rsidRDefault="000B5C73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E0">
        <w:rPr>
          <w:rFonts w:ascii="Times New Roman" w:hAnsi="Times New Roman" w:cs="Times New Roman"/>
          <w:b/>
          <w:sz w:val="24"/>
          <w:szCs w:val="24"/>
        </w:rPr>
        <w:t>Izračun financijskog plana 202</w:t>
      </w:r>
      <w:r w:rsidR="00D53624" w:rsidRPr="00FF2EE0">
        <w:rPr>
          <w:rFonts w:ascii="Times New Roman" w:hAnsi="Times New Roman" w:cs="Times New Roman"/>
          <w:b/>
          <w:sz w:val="24"/>
          <w:szCs w:val="24"/>
        </w:rPr>
        <w:t>4</w:t>
      </w:r>
      <w:r w:rsidR="008D23EE">
        <w:rPr>
          <w:rFonts w:ascii="Times New Roman" w:hAnsi="Times New Roman" w:cs="Times New Roman"/>
          <w:b/>
          <w:sz w:val="24"/>
          <w:szCs w:val="24"/>
        </w:rPr>
        <w:t>.</w:t>
      </w:r>
      <w:r w:rsidRPr="00FF2EE0">
        <w:rPr>
          <w:rFonts w:ascii="Times New Roman" w:hAnsi="Times New Roman" w:cs="Times New Roman"/>
          <w:b/>
          <w:sz w:val="24"/>
          <w:szCs w:val="24"/>
        </w:rPr>
        <w:t>:</w:t>
      </w:r>
    </w:p>
    <w:p w:rsidR="00141F8E" w:rsidRPr="00FF2EE0" w:rsidRDefault="00815920" w:rsidP="00141F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U sklopu </w:t>
      </w:r>
      <w:r w:rsidR="00B73E40" w:rsidRPr="00FF2EE0">
        <w:rPr>
          <w:rFonts w:ascii="Times New Roman" w:hAnsi="Times New Roman" w:cs="Times New Roman"/>
          <w:sz w:val="24"/>
          <w:szCs w:val="24"/>
        </w:rPr>
        <w:t xml:space="preserve">samostalne </w:t>
      </w:r>
      <w:r w:rsidR="00EC2872" w:rsidRPr="00FF2EE0">
        <w:rPr>
          <w:rFonts w:ascii="Times New Roman" w:hAnsi="Times New Roman" w:cs="Times New Roman"/>
          <w:sz w:val="24"/>
          <w:szCs w:val="24"/>
        </w:rPr>
        <w:t>djelatnost</w:t>
      </w:r>
      <w:r w:rsidRPr="00FF2EE0">
        <w:rPr>
          <w:rFonts w:ascii="Times New Roman" w:hAnsi="Times New Roman" w:cs="Times New Roman"/>
          <w:sz w:val="24"/>
          <w:szCs w:val="24"/>
        </w:rPr>
        <w:t>i</w:t>
      </w:r>
      <w:r w:rsidR="00EC2872" w:rsidRPr="00FF2EE0">
        <w:rPr>
          <w:rFonts w:ascii="Times New Roman" w:hAnsi="Times New Roman" w:cs="Times New Roman"/>
          <w:sz w:val="24"/>
          <w:szCs w:val="24"/>
        </w:rPr>
        <w:t xml:space="preserve"> Instituta</w:t>
      </w:r>
      <w:r w:rsidRPr="00FF2EE0">
        <w:rPr>
          <w:rFonts w:ascii="Times New Roman" w:hAnsi="Times New Roman" w:cs="Times New Roman"/>
          <w:sz w:val="24"/>
          <w:szCs w:val="24"/>
        </w:rPr>
        <w:t xml:space="preserve"> iz evidencijskih prihoda planirano je </w:t>
      </w:r>
      <w:r w:rsidR="00ED79C0" w:rsidRPr="00FF2EE0">
        <w:rPr>
          <w:rFonts w:ascii="Times New Roman" w:hAnsi="Times New Roman" w:cs="Times New Roman"/>
          <w:sz w:val="24"/>
          <w:szCs w:val="24"/>
        </w:rPr>
        <w:t>rashoda</w:t>
      </w:r>
      <w:r w:rsidR="004A5011" w:rsidRPr="00FF2EE0">
        <w:rPr>
          <w:rFonts w:ascii="Times New Roman" w:hAnsi="Times New Roman" w:cs="Times New Roman"/>
          <w:sz w:val="24"/>
          <w:szCs w:val="24"/>
        </w:rPr>
        <w:t xml:space="preserve"> u iznosu </w:t>
      </w:r>
      <w:r w:rsidR="001A5D7B" w:rsidRPr="00FF2EE0">
        <w:rPr>
          <w:rFonts w:ascii="Times New Roman" w:hAnsi="Times New Roman" w:cs="Times New Roman"/>
          <w:sz w:val="24"/>
          <w:szCs w:val="24"/>
        </w:rPr>
        <w:t xml:space="preserve">od </w:t>
      </w:r>
      <w:r w:rsidR="00B73E40" w:rsidRPr="00FF2EE0">
        <w:rPr>
          <w:rFonts w:ascii="Times New Roman" w:hAnsi="Times New Roman" w:cs="Times New Roman"/>
          <w:sz w:val="24"/>
          <w:szCs w:val="24"/>
        </w:rPr>
        <w:t>16.121.423</w:t>
      </w:r>
      <w:r w:rsidR="00CB14EB" w:rsidRPr="00FF2EE0">
        <w:rPr>
          <w:rFonts w:ascii="Times New Roman" w:hAnsi="Times New Roman" w:cs="Times New Roman"/>
          <w:sz w:val="24"/>
          <w:szCs w:val="24"/>
        </w:rPr>
        <w:t xml:space="preserve"> EUR.</w:t>
      </w:r>
      <w:r w:rsidR="004A5011" w:rsidRPr="00FF2EE0">
        <w:rPr>
          <w:rFonts w:ascii="Times New Roman" w:hAnsi="Times New Roman" w:cs="Times New Roman"/>
          <w:sz w:val="24"/>
          <w:szCs w:val="24"/>
        </w:rPr>
        <w:t xml:space="preserve"> Dominantan izvor financiranja je 31.</w:t>
      </w:r>
    </w:p>
    <w:p w:rsidR="004A5011" w:rsidRPr="00FF2EE0" w:rsidRDefault="004A5011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20" w:rsidRPr="00FF2EE0" w:rsidRDefault="00815920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Izvor financiranja 31:</w:t>
      </w:r>
    </w:p>
    <w:p w:rsidR="00EC2872" w:rsidRPr="00FF2EE0" w:rsidRDefault="00EC2872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Rashodi za zaposlene</w:t>
      </w:r>
      <w:r w:rsidR="00B73E40" w:rsidRPr="00FF2EE0">
        <w:rPr>
          <w:rFonts w:ascii="Times New Roman" w:hAnsi="Times New Roman" w:cs="Times New Roman"/>
          <w:sz w:val="24"/>
          <w:szCs w:val="24"/>
        </w:rPr>
        <w:t>: 3.050.370</w:t>
      </w:r>
      <w:r w:rsidR="0068114D" w:rsidRPr="00FF2EE0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EC2872" w:rsidRPr="00FF2EE0" w:rsidRDefault="00EC2872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Materijalni rashodi</w:t>
      </w:r>
      <w:r w:rsidR="00B73E40" w:rsidRPr="00FF2EE0">
        <w:rPr>
          <w:rFonts w:ascii="Times New Roman" w:hAnsi="Times New Roman" w:cs="Times New Roman"/>
          <w:sz w:val="24"/>
          <w:szCs w:val="24"/>
        </w:rPr>
        <w:t xml:space="preserve">: </w:t>
      </w:r>
      <w:r w:rsidR="00815920" w:rsidRPr="00FF2EE0">
        <w:rPr>
          <w:rFonts w:ascii="Times New Roman" w:hAnsi="Times New Roman" w:cs="Times New Roman"/>
          <w:sz w:val="24"/>
          <w:szCs w:val="24"/>
        </w:rPr>
        <w:t>10.643.418</w:t>
      </w:r>
      <w:r w:rsidR="0068114D" w:rsidRPr="00FF2EE0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EC2872" w:rsidRPr="00FF2EE0" w:rsidRDefault="00EC2872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Financijski rashodi</w:t>
      </w:r>
      <w:r w:rsidR="00B73E40" w:rsidRPr="00FF2EE0">
        <w:rPr>
          <w:rFonts w:ascii="Times New Roman" w:hAnsi="Times New Roman" w:cs="Times New Roman"/>
          <w:sz w:val="24"/>
          <w:szCs w:val="24"/>
        </w:rPr>
        <w:t xml:space="preserve">: </w:t>
      </w:r>
      <w:r w:rsidR="00815920" w:rsidRPr="00FF2EE0">
        <w:rPr>
          <w:rFonts w:ascii="Times New Roman" w:hAnsi="Times New Roman" w:cs="Times New Roman"/>
          <w:sz w:val="24"/>
          <w:szCs w:val="24"/>
        </w:rPr>
        <w:t>38.994</w:t>
      </w:r>
      <w:r w:rsidR="0068114D" w:rsidRPr="00FF2EE0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7F28B8" w:rsidRPr="00FF2EE0" w:rsidRDefault="007F28B8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Izdaci za otplatu primljenih kredita</w:t>
      </w:r>
      <w:r w:rsidR="00B73E40" w:rsidRPr="00FF2EE0">
        <w:rPr>
          <w:rFonts w:ascii="Times New Roman" w:hAnsi="Times New Roman" w:cs="Times New Roman"/>
          <w:sz w:val="24"/>
          <w:szCs w:val="24"/>
        </w:rPr>
        <w:t>:</w:t>
      </w:r>
      <w:r w:rsidRPr="00FF2EE0">
        <w:rPr>
          <w:rFonts w:ascii="Times New Roman" w:hAnsi="Times New Roman" w:cs="Times New Roman"/>
          <w:sz w:val="24"/>
          <w:szCs w:val="24"/>
        </w:rPr>
        <w:t xml:space="preserve"> 2.000.000 EUR</w:t>
      </w:r>
    </w:p>
    <w:p w:rsidR="00EC2872" w:rsidRPr="00FF2EE0" w:rsidRDefault="00EC2872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Ostali rashodi</w:t>
      </w:r>
      <w:r w:rsidR="00B73E40" w:rsidRPr="00FF2EE0">
        <w:rPr>
          <w:rFonts w:ascii="Times New Roman" w:hAnsi="Times New Roman" w:cs="Times New Roman"/>
          <w:sz w:val="24"/>
          <w:szCs w:val="24"/>
        </w:rPr>
        <w:t xml:space="preserve">: </w:t>
      </w:r>
      <w:r w:rsidR="00815920" w:rsidRPr="00FF2EE0">
        <w:rPr>
          <w:rFonts w:ascii="Times New Roman" w:hAnsi="Times New Roman" w:cs="Times New Roman"/>
          <w:sz w:val="24"/>
          <w:szCs w:val="24"/>
        </w:rPr>
        <w:t>1.8</w:t>
      </w:r>
      <w:r w:rsidR="006A351E" w:rsidRPr="00FF2EE0">
        <w:rPr>
          <w:rFonts w:ascii="Times New Roman" w:hAnsi="Times New Roman" w:cs="Times New Roman"/>
          <w:sz w:val="24"/>
          <w:szCs w:val="24"/>
        </w:rPr>
        <w:t>6</w:t>
      </w:r>
      <w:r w:rsidR="00815920" w:rsidRPr="00FF2EE0">
        <w:rPr>
          <w:rFonts w:ascii="Times New Roman" w:hAnsi="Times New Roman" w:cs="Times New Roman"/>
          <w:sz w:val="24"/>
          <w:szCs w:val="24"/>
        </w:rPr>
        <w:t>6</w:t>
      </w:r>
      <w:r w:rsidR="0013724E" w:rsidRPr="00FF2EE0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815920" w:rsidRPr="00FF2EE0" w:rsidRDefault="00C5573A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Ukupno izvor 31: 15.734.648 EUR</w:t>
      </w:r>
    </w:p>
    <w:p w:rsidR="00C5573A" w:rsidRPr="00FF2EE0" w:rsidRDefault="00C5573A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20" w:rsidRPr="00FF2EE0" w:rsidRDefault="00815920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Izvor financiranja 52:</w:t>
      </w:r>
    </w:p>
    <w:p w:rsidR="00815920" w:rsidRPr="00FF2EE0" w:rsidRDefault="00815920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Rashodi za zaposlene</w:t>
      </w:r>
      <w:r w:rsidR="00B73E40" w:rsidRPr="00FF2EE0">
        <w:rPr>
          <w:rFonts w:ascii="Times New Roman" w:hAnsi="Times New Roman" w:cs="Times New Roman"/>
          <w:sz w:val="24"/>
          <w:szCs w:val="24"/>
        </w:rPr>
        <w:t>:</w:t>
      </w:r>
      <w:r w:rsidRPr="00FF2EE0">
        <w:rPr>
          <w:rFonts w:ascii="Times New Roman" w:hAnsi="Times New Roman" w:cs="Times New Roman"/>
          <w:sz w:val="24"/>
          <w:szCs w:val="24"/>
        </w:rPr>
        <w:t xml:space="preserve"> 44.170</w:t>
      </w:r>
      <w:r w:rsidR="004A5011" w:rsidRPr="00FF2EE0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815920" w:rsidRPr="00FF2EE0" w:rsidRDefault="00815920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Materijalni rashodi</w:t>
      </w:r>
      <w:r w:rsidR="00B73E40" w:rsidRPr="00FF2EE0">
        <w:rPr>
          <w:rFonts w:ascii="Times New Roman" w:hAnsi="Times New Roman" w:cs="Times New Roman"/>
          <w:sz w:val="24"/>
          <w:szCs w:val="24"/>
        </w:rPr>
        <w:t>:</w:t>
      </w:r>
      <w:r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="00B73E40" w:rsidRPr="00FF2EE0">
        <w:rPr>
          <w:rFonts w:ascii="Times New Roman" w:hAnsi="Times New Roman" w:cs="Times New Roman"/>
          <w:sz w:val="24"/>
          <w:szCs w:val="24"/>
        </w:rPr>
        <w:t>270.330</w:t>
      </w:r>
      <w:r w:rsidR="004A5011" w:rsidRPr="00FF2EE0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815920" w:rsidRPr="00FF2EE0" w:rsidRDefault="00815920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Rashodi za nabavu nefinancijske imovine</w:t>
      </w:r>
      <w:r w:rsidR="00B73E40" w:rsidRPr="00FF2EE0">
        <w:rPr>
          <w:rFonts w:ascii="Times New Roman" w:hAnsi="Times New Roman" w:cs="Times New Roman"/>
          <w:sz w:val="24"/>
          <w:szCs w:val="24"/>
        </w:rPr>
        <w:t>: 7</w:t>
      </w:r>
      <w:r w:rsidRPr="00FF2EE0">
        <w:rPr>
          <w:rFonts w:ascii="Times New Roman" w:hAnsi="Times New Roman" w:cs="Times New Roman"/>
          <w:sz w:val="24"/>
          <w:szCs w:val="24"/>
        </w:rPr>
        <w:t>.000</w:t>
      </w:r>
      <w:r w:rsidR="004A5011" w:rsidRPr="00FF2EE0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4A5011" w:rsidRPr="00FF2EE0" w:rsidRDefault="00C5573A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Ukupno izvor 52: 321.500 EUR</w:t>
      </w:r>
    </w:p>
    <w:p w:rsidR="00C5573A" w:rsidRPr="00FF2EE0" w:rsidRDefault="00C5573A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A" w:rsidRPr="00FF2EE0" w:rsidRDefault="00C5573A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E40" w:rsidRPr="00FF2EE0" w:rsidRDefault="00B73E40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lastRenderedPageBreak/>
        <w:t>Izvor financiranja 51:</w:t>
      </w:r>
    </w:p>
    <w:p w:rsidR="00B73E40" w:rsidRPr="00FF2EE0" w:rsidRDefault="00B73E40" w:rsidP="00B73E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Rashodi za zaposlene: 46.500 EUR</w:t>
      </w:r>
    </w:p>
    <w:p w:rsidR="00B73E40" w:rsidRPr="00FF2EE0" w:rsidRDefault="00B73E40" w:rsidP="00B73E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Materijalni rashodi: 18.775 EUR</w:t>
      </w:r>
    </w:p>
    <w:p w:rsidR="004A5011" w:rsidRPr="00FF2EE0" w:rsidRDefault="00C5573A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Ukupno izvor 51: 65.275 EUR</w:t>
      </w:r>
    </w:p>
    <w:p w:rsidR="004A5011" w:rsidRPr="00FF2EE0" w:rsidRDefault="004A5011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011" w:rsidRPr="00FF2EE0" w:rsidRDefault="004A5011" w:rsidP="00A95C8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011" w:rsidRPr="00FF2EE0" w:rsidRDefault="004A5011" w:rsidP="004A501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E0">
        <w:rPr>
          <w:rFonts w:ascii="Times New Roman" w:hAnsi="Times New Roman" w:cs="Times New Roman"/>
          <w:b/>
          <w:sz w:val="24"/>
          <w:szCs w:val="24"/>
        </w:rPr>
        <w:t>Izračun financijskog plana 2025</w:t>
      </w:r>
      <w:r w:rsidR="008D23EE">
        <w:rPr>
          <w:rFonts w:ascii="Times New Roman" w:hAnsi="Times New Roman" w:cs="Times New Roman"/>
          <w:b/>
          <w:sz w:val="24"/>
          <w:szCs w:val="24"/>
        </w:rPr>
        <w:t>.</w:t>
      </w:r>
      <w:r w:rsidRPr="00FF2EE0">
        <w:rPr>
          <w:rFonts w:ascii="Times New Roman" w:hAnsi="Times New Roman" w:cs="Times New Roman"/>
          <w:b/>
          <w:sz w:val="24"/>
          <w:szCs w:val="24"/>
        </w:rPr>
        <w:t>:</w:t>
      </w: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U sklopu </w:t>
      </w:r>
      <w:r w:rsidR="001A5D7B" w:rsidRPr="00FF2EE0">
        <w:rPr>
          <w:rFonts w:ascii="Times New Roman" w:hAnsi="Times New Roman" w:cs="Times New Roman"/>
          <w:sz w:val="24"/>
          <w:szCs w:val="24"/>
        </w:rPr>
        <w:t>samostalne</w:t>
      </w:r>
      <w:r w:rsidRPr="00FF2EE0">
        <w:rPr>
          <w:rFonts w:ascii="Times New Roman" w:hAnsi="Times New Roman" w:cs="Times New Roman"/>
          <w:sz w:val="24"/>
          <w:szCs w:val="24"/>
        </w:rPr>
        <w:t xml:space="preserve"> djelatnosti Instituta iz evidencijskih prihoda planirano je </w:t>
      </w:r>
      <w:r w:rsidR="006A351E" w:rsidRPr="00FF2EE0">
        <w:rPr>
          <w:rFonts w:ascii="Times New Roman" w:hAnsi="Times New Roman" w:cs="Times New Roman"/>
          <w:sz w:val="24"/>
          <w:szCs w:val="24"/>
        </w:rPr>
        <w:t>rashoda</w:t>
      </w:r>
      <w:r w:rsidRPr="00FF2EE0">
        <w:rPr>
          <w:rFonts w:ascii="Times New Roman" w:hAnsi="Times New Roman" w:cs="Times New Roman"/>
          <w:sz w:val="24"/>
          <w:szCs w:val="24"/>
        </w:rPr>
        <w:t xml:space="preserve"> u iznosu</w:t>
      </w:r>
      <w:r w:rsidR="001A5D7B" w:rsidRPr="00FF2EE0">
        <w:rPr>
          <w:rFonts w:ascii="Times New Roman" w:hAnsi="Times New Roman" w:cs="Times New Roman"/>
          <w:sz w:val="24"/>
          <w:szCs w:val="24"/>
        </w:rPr>
        <w:t xml:space="preserve"> od</w:t>
      </w:r>
      <w:r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="00C5573A" w:rsidRPr="00FF2EE0">
        <w:rPr>
          <w:rFonts w:ascii="Times New Roman" w:hAnsi="Times New Roman" w:cs="Times New Roman"/>
          <w:sz w:val="24"/>
          <w:szCs w:val="24"/>
        </w:rPr>
        <w:t>16.141.423</w:t>
      </w:r>
      <w:r w:rsidRPr="00FF2EE0">
        <w:rPr>
          <w:rFonts w:ascii="Times New Roman" w:hAnsi="Times New Roman" w:cs="Times New Roman"/>
          <w:sz w:val="24"/>
          <w:szCs w:val="24"/>
        </w:rPr>
        <w:t xml:space="preserve"> EUR. Dominantan izvor financiranja je 31.</w:t>
      </w: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Izvor financiranja 31:</w:t>
      </w: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Rashodi za zaposlene</w:t>
      </w:r>
      <w:r w:rsidR="001F3158" w:rsidRPr="00FF2EE0">
        <w:rPr>
          <w:rFonts w:ascii="Times New Roman" w:hAnsi="Times New Roman" w:cs="Times New Roman"/>
          <w:sz w:val="24"/>
          <w:szCs w:val="24"/>
        </w:rPr>
        <w:t>:</w:t>
      </w:r>
      <w:r w:rsidR="00C5573A" w:rsidRPr="00FF2EE0">
        <w:rPr>
          <w:rFonts w:ascii="Times New Roman" w:hAnsi="Times New Roman" w:cs="Times New Roman"/>
          <w:sz w:val="24"/>
          <w:szCs w:val="24"/>
        </w:rPr>
        <w:t xml:space="preserve"> 3.070.840</w:t>
      </w:r>
      <w:r w:rsidRPr="00FF2EE0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Materijalni rashodi</w:t>
      </w:r>
      <w:r w:rsidR="00C5573A" w:rsidRPr="00FF2EE0">
        <w:rPr>
          <w:rFonts w:ascii="Times New Roman" w:hAnsi="Times New Roman" w:cs="Times New Roman"/>
          <w:sz w:val="24"/>
          <w:szCs w:val="24"/>
        </w:rPr>
        <w:t>: 10.641.638</w:t>
      </w:r>
      <w:r w:rsidRPr="00FF2EE0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Financijski rashodi</w:t>
      </w:r>
      <w:r w:rsidR="001F3158" w:rsidRPr="00FF2EE0">
        <w:rPr>
          <w:rFonts w:ascii="Times New Roman" w:hAnsi="Times New Roman" w:cs="Times New Roman"/>
          <w:sz w:val="24"/>
          <w:szCs w:val="24"/>
        </w:rPr>
        <w:t>:</w:t>
      </w:r>
      <w:r w:rsidRPr="00FF2EE0">
        <w:rPr>
          <w:rFonts w:ascii="Times New Roman" w:hAnsi="Times New Roman" w:cs="Times New Roman"/>
          <w:sz w:val="24"/>
          <w:szCs w:val="24"/>
        </w:rPr>
        <w:t xml:space="preserve"> 38.994 EUR</w:t>
      </w:r>
    </w:p>
    <w:p w:rsidR="006A351E" w:rsidRPr="00FF2EE0" w:rsidRDefault="006A351E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Izdaci za otplatu primljenih kredita</w:t>
      </w:r>
      <w:r w:rsidR="001F3158" w:rsidRPr="00FF2EE0">
        <w:rPr>
          <w:rFonts w:ascii="Times New Roman" w:hAnsi="Times New Roman" w:cs="Times New Roman"/>
          <w:sz w:val="24"/>
          <w:szCs w:val="24"/>
        </w:rPr>
        <w:t>:</w:t>
      </w:r>
      <w:r w:rsidRPr="00FF2EE0">
        <w:rPr>
          <w:rFonts w:ascii="Times New Roman" w:hAnsi="Times New Roman" w:cs="Times New Roman"/>
          <w:sz w:val="24"/>
          <w:szCs w:val="24"/>
        </w:rPr>
        <w:t xml:space="preserve"> 2.000.000 EUR</w:t>
      </w: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Ostali rashodi</w:t>
      </w:r>
      <w:r w:rsidR="001F3158" w:rsidRPr="00FF2EE0">
        <w:rPr>
          <w:rFonts w:ascii="Times New Roman" w:hAnsi="Times New Roman" w:cs="Times New Roman"/>
          <w:sz w:val="24"/>
          <w:szCs w:val="24"/>
        </w:rPr>
        <w:t>:</w:t>
      </w:r>
      <w:r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="006A351E" w:rsidRPr="00FF2EE0">
        <w:rPr>
          <w:rFonts w:ascii="Times New Roman" w:hAnsi="Times New Roman" w:cs="Times New Roman"/>
          <w:sz w:val="24"/>
          <w:szCs w:val="24"/>
        </w:rPr>
        <w:t>1.86</w:t>
      </w:r>
      <w:r w:rsidRPr="00FF2EE0">
        <w:rPr>
          <w:rFonts w:ascii="Times New Roman" w:hAnsi="Times New Roman" w:cs="Times New Roman"/>
          <w:sz w:val="24"/>
          <w:szCs w:val="24"/>
        </w:rPr>
        <w:t>6 EUR</w:t>
      </w:r>
    </w:p>
    <w:p w:rsidR="00C5573A" w:rsidRPr="00FF2EE0" w:rsidRDefault="00C5573A" w:rsidP="00C557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Ukupno izvor 31: 15.753.338 EUR</w:t>
      </w: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Izvor financiranja 52:</w:t>
      </w: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Rashodi za zaposlene</w:t>
      </w:r>
      <w:r w:rsidR="00C5573A" w:rsidRPr="00FF2EE0">
        <w:rPr>
          <w:rFonts w:ascii="Times New Roman" w:hAnsi="Times New Roman" w:cs="Times New Roman"/>
          <w:sz w:val="24"/>
          <w:szCs w:val="24"/>
        </w:rPr>
        <w:t xml:space="preserve">: </w:t>
      </w:r>
      <w:r w:rsidR="006A351E" w:rsidRPr="00FF2EE0">
        <w:rPr>
          <w:rFonts w:ascii="Times New Roman" w:hAnsi="Times New Roman" w:cs="Times New Roman"/>
          <w:sz w:val="24"/>
          <w:szCs w:val="24"/>
        </w:rPr>
        <w:t>17.000</w:t>
      </w:r>
      <w:r w:rsidRPr="00FF2EE0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Materijalni rashodi</w:t>
      </w:r>
      <w:r w:rsidR="00C5573A" w:rsidRPr="00FF2EE0">
        <w:rPr>
          <w:rFonts w:ascii="Times New Roman" w:hAnsi="Times New Roman" w:cs="Times New Roman"/>
          <w:sz w:val="24"/>
          <w:szCs w:val="24"/>
        </w:rPr>
        <w:t xml:space="preserve">: 258.800 </w:t>
      </w:r>
      <w:r w:rsidRPr="00FF2EE0">
        <w:rPr>
          <w:rFonts w:ascii="Times New Roman" w:hAnsi="Times New Roman" w:cs="Times New Roman"/>
          <w:sz w:val="24"/>
          <w:szCs w:val="24"/>
        </w:rPr>
        <w:t>EUR</w:t>
      </w: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Rashodi za nabavu nefinancijske imovine</w:t>
      </w:r>
      <w:r w:rsidR="00C5573A" w:rsidRPr="00FF2EE0">
        <w:rPr>
          <w:rFonts w:ascii="Times New Roman" w:hAnsi="Times New Roman" w:cs="Times New Roman"/>
          <w:sz w:val="24"/>
          <w:szCs w:val="24"/>
        </w:rPr>
        <w:t>: 27</w:t>
      </w:r>
      <w:r w:rsidRPr="00FF2EE0">
        <w:rPr>
          <w:rFonts w:ascii="Times New Roman" w:hAnsi="Times New Roman" w:cs="Times New Roman"/>
          <w:sz w:val="24"/>
          <w:szCs w:val="24"/>
        </w:rPr>
        <w:t>.000 EUR</w:t>
      </w:r>
    </w:p>
    <w:p w:rsidR="00C5573A" w:rsidRPr="00FF2EE0" w:rsidRDefault="00C5573A" w:rsidP="00C557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Ukupno izvor 52: 302.800 EUR</w:t>
      </w:r>
    </w:p>
    <w:p w:rsidR="00C5573A" w:rsidRPr="00FF2EE0" w:rsidRDefault="00C5573A" w:rsidP="00C557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A" w:rsidRPr="00FF2EE0" w:rsidRDefault="00C5573A" w:rsidP="00C557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Izvor financiranja 51:</w:t>
      </w:r>
    </w:p>
    <w:p w:rsidR="00C5573A" w:rsidRPr="00FF2EE0" w:rsidRDefault="00C5573A" w:rsidP="00C557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Rashodi za zaposlene: 53.200 EUR</w:t>
      </w:r>
    </w:p>
    <w:p w:rsidR="00C5573A" w:rsidRPr="00FF2EE0" w:rsidRDefault="00C5573A" w:rsidP="00C557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Materijalni rashodi: 32.085 EUR</w:t>
      </w:r>
    </w:p>
    <w:p w:rsidR="00C5573A" w:rsidRPr="00FF2EE0" w:rsidRDefault="00C5573A" w:rsidP="00C557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Ukupno izvor 51: </w:t>
      </w:r>
      <w:r w:rsidR="00604DBB" w:rsidRPr="00FF2EE0">
        <w:rPr>
          <w:rFonts w:ascii="Times New Roman" w:hAnsi="Times New Roman" w:cs="Times New Roman"/>
          <w:sz w:val="24"/>
          <w:szCs w:val="24"/>
        </w:rPr>
        <w:t>85.285</w:t>
      </w:r>
      <w:r w:rsidRPr="00FF2EE0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1A5D7B" w:rsidRPr="00FF2EE0" w:rsidRDefault="001A5D7B" w:rsidP="00C557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011" w:rsidRPr="00FF2EE0" w:rsidRDefault="004A5011" w:rsidP="004A501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E0">
        <w:rPr>
          <w:rFonts w:ascii="Times New Roman" w:hAnsi="Times New Roman" w:cs="Times New Roman"/>
          <w:b/>
          <w:sz w:val="24"/>
          <w:szCs w:val="24"/>
        </w:rPr>
        <w:t>Izračun financijskog plana 2026</w:t>
      </w:r>
      <w:r w:rsidR="008D23EE">
        <w:rPr>
          <w:rFonts w:ascii="Times New Roman" w:hAnsi="Times New Roman" w:cs="Times New Roman"/>
          <w:b/>
          <w:sz w:val="24"/>
          <w:szCs w:val="24"/>
        </w:rPr>
        <w:t>.</w:t>
      </w:r>
      <w:r w:rsidRPr="00FF2EE0">
        <w:rPr>
          <w:rFonts w:ascii="Times New Roman" w:hAnsi="Times New Roman" w:cs="Times New Roman"/>
          <w:b/>
          <w:sz w:val="24"/>
          <w:szCs w:val="24"/>
        </w:rPr>
        <w:t>:</w:t>
      </w: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U sklopu </w:t>
      </w:r>
      <w:r w:rsidR="001A5D7B" w:rsidRPr="00FF2EE0">
        <w:rPr>
          <w:rFonts w:ascii="Times New Roman" w:hAnsi="Times New Roman" w:cs="Times New Roman"/>
          <w:sz w:val="24"/>
          <w:szCs w:val="24"/>
        </w:rPr>
        <w:t>samostalne</w:t>
      </w:r>
      <w:r w:rsidRPr="00FF2EE0">
        <w:rPr>
          <w:rFonts w:ascii="Times New Roman" w:hAnsi="Times New Roman" w:cs="Times New Roman"/>
          <w:sz w:val="24"/>
          <w:szCs w:val="24"/>
        </w:rPr>
        <w:t xml:space="preserve"> djelatnosti Instituta iz evidencijskih prihoda planirano je </w:t>
      </w:r>
      <w:r w:rsidR="00ED79C0" w:rsidRPr="00FF2EE0">
        <w:rPr>
          <w:rFonts w:ascii="Times New Roman" w:hAnsi="Times New Roman" w:cs="Times New Roman"/>
          <w:sz w:val="24"/>
          <w:szCs w:val="24"/>
        </w:rPr>
        <w:t xml:space="preserve">rashoda </w:t>
      </w:r>
      <w:r w:rsidRPr="00FF2EE0">
        <w:rPr>
          <w:rFonts w:ascii="Times New Roman" w:hAnsi="Times New Roman" w:cs="Times New Roman"/>
          <w:sz w:val="24"/>
          <w:szCs w:val="24"/>
        </w:rPr>
        <w:t>u iznosu</w:t>
      </w:r>
      <w:r w:rsidR="001A5D7B" w:rsidRPr="00FF2EE0">
        <w:rPr>
          <w:rFonts w:ascii="Times New Roman" w:hAnsi="Times New Roman" w:cs="Times New Roman"/>
          <w:sz w:val="24"/>
          <w:szCs w:val="24"/>
        </w:rPr>
        <w:t xml:space="preserve"> od 16.051.423</w:t>
      </w:r>
      <w:r w:rsidRPr="00FF2EE0">
        <w:rPr>
          <w:rFonts w:ascii="Times New Roman" w:hAnsi="Times New Roman" w:cs="Times New Roman"/>
          <w:sz w:val="24"/>
          <w:szCs w:val="24"/>
        </w:rPr>
        <w:t xml:space="preserve"> EUR. Dominantan izvor financiranja je 31.</w:t>
      </w: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Izvor financiranja 31:</w:t>
      </w: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Rashodi za zaposlene</w:t>
      </w:r>
      <w:r w:rsidR="001F2B72" w:rsidRPr="00FF2EE0">
        <w:rPr>
          <w:rFonts w:ascii="Times New Roman" w:hAnsi="Times New Roman" w:cs="Times New Roman"/>
          <w:sz w:val="24"/>
          <w:szCs w:val="24"/>
        </w:rPr>
        <w:t>:</w:t>
      </w:r>
      <w:r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="001F2B72" w:rsidRPr="00FF2EE0">
        <w:rPr>
          <w:rFonts w:ascii="Times New Roman" w:hAnsi="Times New Roman" w:cs="Times New Roman"/>
          <w:sz w:val="24"/>
          <w:szCs w:val="24"/>
        </w:rPr>
        <w:t>3.021.040</w:t>
      </w:r>
      <w:r w:rsidRPr="00FF2EE0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Materijalni rashodi</w:t>
      </w:r>
      <w:r w:rsidR="001F2B72" w:rsidRPr="00FF2EE0">
        <w:rPr>
          <w:rFonts w:ascii="Times New Roman" w:hAnsi="Times New Roman" w:cs="Times New Roman"/>
          <w:sz w:val="24"/>
          <w:szCs w:val="24"/>
        </w:rPr>
        <w:t>:</w:t>
      </w:r>
      <w:r w:rsidRPr="00FF2EE0">
        <w:rPr>
          <w:rFonts w:ascii="Times New Roman" w:hAnsi="Times New Roman" w:cs="Times New Roman"/>
          <w:sz w:val="24"/>
          <w:szCs w:val="24"/>
        </w:rPr>
        <w:t xml:space="preserve"> 10.</w:t>
      </w:r>
      <w:r w:rsidR="006A351E" w:rsidRPr="00FF2EE0">
        <w:rPr>
          <w:rFonts w:ascii="Times New Roman" w:hAnsi="Times New Roman" w:cs="Times New Roman"/>
          <w:sz w:val="24"/>
          <w:szCs w:val="24"/>
        </w:rPr>
        <w:t>657.963</w:t>
      </w:r>
      <w:r w:rsidRPr="00FF2EE0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Financijski rashodi</w:t>
      </w:r>
      <w:r w:rsidR="001F2B72" w:rsidRPr="00FF2EE0">
        <w:rPr>
          <w:rFonts w:ascii="Times New Roman" w:hAnsi="Times New Roman" w:cs="Times New Roman"/>
          <w:sz w:val="24"/>
          <w:szCs w:val="24"/>
        </w:rPr>
        <w:t>:</w:t>
      </w:r>
      <w:r w:rsidRPr="00FF2EE0">
        <w:rPr>
          <w:rFonts w:ascii="Times New Roman" w:hAnsi="Times New Roman" w:cs="Times New Roman"/>
          <w:sz w:val="24"/>
          <w:szCs w:val="24"/>
        </w:rPr>
        <w:t xml:space="preserve"> 38.994 EUR</w:t>
      </w:r>
    </w:p>
    <w:p w:rsidR="006A351E" w:rsidRPr="00FF2EE0" w:rsidRDefault="006A351E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Izdaci za otplatu primljenih kredita</w:t>
      </w:r>
      <w:r w:rsidR="001F2B72" w:rsidRPr="00FF2EE0">
        <w:rPr>
          <w:rFonts w:ascii="Times New Roman" w:hAnsi="Times New Roman" w:cs="Times New Roman"/>
          <w:sz w:val="24"/>
          <w:szCs w:val="24"/>
        </w:rPr>
        <w:t>:</w:t>
      </w:r>
      <w:r w:rsidRPr="00FF2EE0">
        <w:rPr>
          <w:rFonts w:ascii="Times New Roman" w:hAnsi="Times New Roman" w:cs="Times New Roman"/>
          <w:sz w:val="24"/>
          <w:szCs w:val="24"/>
        </w:rPr>
        <w:t xml:space="preserve"> 2.000.000 EUR</w:t>
      </w: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Ostali rashodi</w:t>
      </w:r>
      <w:r w:rsidR="001F2B72" w:rsidRPr="00FF2EE0">
        <w:rPr>
          <w:rFonts w:ascii="Times New Roman" w:hAnsi="Times New Roman" w:cs="Times New Roman"/>
          <w:sz w:val="24"/>
          <w:szCs w:val="24"/>
        </w:rPr>
        <w:t>:</w:t>
      </w:r>
      <w:r w:rsidRPr="00FF2EE0">
        <w:rPr>
          <w:rFonts w:ascii="Times New Roman" w:hAnsi="Times New Roman" w:cs="Times New Roman"/>
          <w:sz w:val="24"/>
          <w:szCs w:val="24"/>
        </w:rPr>
        <w:t xml:space="preserve"> 1.8</w:t>
      </w:r>
      <w:r w:rsidR="006A351E" w:rsidRPr="00FF2EE0">
        <w:rPr>
          <w:rFonts w:ascii="Times New Roman" w:hAnsi="Times New Roman" w:cs="Times New Roman"/>
          <w:sz w:val="24"/>
          <w:szCs w:val="24"/>
        </w:rPr>
        <w:t>6</w:t>
      </w:r>
      <w:r w:rsidR="0013724E" w:rsidRPr="00FF2EE0">
        <w:rPr>
          <w:rFonts w:ascii="Times New Roman" w:hAnsi="Times New Roman" w:cs="Times New Roman"/>
          <w:sz w:val="24"/>
          <w:szCs w:val="24"/>
        </w:rPr>
        <w:t>6 EUR</w:t>
      </w:r>
    </w:p>
    <w:p w:rsidR="001F2B72" w:rsidRPr="00FF2EE0" w:rsidRDefault="001F2B72" w:rsidP="001F2B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Ukupno izvor 31: 15.7</w:t>
      </w:r>
      <w:r w:rsidR="000E19FD" w:rsidRPr="00FF2EE0">
        <w:rPr>
          <w:rFonts w:ascii="Times New Roman" w:hAnsi="Times New Roman" w:cs="Times New Roman"/>
          <w:sz w:val="24"/>
          <w:szCs w:val="24"/>
        </w:rPr>
        <w:t>19.863</w:t>
      </w:r>
      <w:r w:rsidRPr="00FF2EE0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B72" w:rsidRPr="00FF2EE0" w:rsidRDefault="001F2B72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lastRenderedPageBreak/>
        <w:t>Izvor financiranja 52:</w:t>
      </w:r>
    </w:p>
    <w:p w:rsidR="004A5011" w:rsidRPr="00FF2EE0" w:rsidRDefault="004A5011" w:rsidP="004A50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Materijalni rashodi</w:t>
      </w:r>
      <w:r w:rsidR="001F2B72" w:rsidRPr="00FF2EE0">
        <w:rPr>
          <w:rFonts w:ascii="Times New Roman" w:hAnsi="Times New Roman" w:cs="Times New Roman"/>
          <w:sz w:val="24"/>
          <w:szCs w:val="24"/>
        </w:rPr>
        <w:t>:</w:t>
      </w:r>
      <w:r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="005A2FF1" w:rsidRPr="00FF2EE0">
        <w:rPr>
          <w:rFonts w:ascii="Times New Roman" w:hAnsi="Times New Roman" w:cs="Times New Roman"/>
          <w:sz w:val="24"/>
          <w:szCs w:val="24"/>
        </w:rPr>
        <w:t xml:space="preserve">266.500 </w:t>
      </w:r>
      <w:r w:rsidRPr="00FF2EE0">
        <w:rPr>
          <w:rFonts w:ascii="Times New Roman" w:hAnsi="Times New Roman" w:cs="Times New Roman"/>
          <w:sz w:val="24"/>
          <w:szCs w:val="24"/>
        </w:rPr>
        <w:t>EUR</w:t>
      </w:r>
    </w:p>
    <w:p w:rsidR="004A5011" w:rsidRPr="00FF2EE0" w:rsidRDefault="004A5011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Rashodi za nabavu nefinancijske imovine</w:t>
      </w:r>
      <w:r w:rsidR="001F2B72" w:rsidRPr="00FF2EE0">
        <w:rPr>
          <w:rFonts w:ascii="Times New Roman" w:hAnsi="Times New Roman" w:cs="Times New Roman"/>
          <w:sz w:val="24"/>
          <w:szCs w:val="24"/>
        </w:rPr>
        <w:t xml:space="preserve">: </w:t>
      </w:r>
      <w:r w:rsidR="005A2FF1" w:rsidRPr="00FF2EE0">
        <w:rPr>
          <w:rFonts w:ascii="Times New Roman" w:hAnsi="Times New Roman" w:cs="Times New Roman"/>
          <w:sz w:val="24"/>
          <w:szCs w:val="24"/>
        </w:rPr>
        <w:t>37</w:t>
      </w:r>
      <w:r w:rsidRPr="00FF2EE0">
        <w:rPr>
          <w:rFonts w:ascii="Times New Roman" w:hAnsi="Times New Roman" w:cs="Times New Roman"/>
          <w:sz w:val="24"/>
          <w:szCs w:val="24"/>
        </w:rPr>
        <w:t>.000 EUR</w:t>
      </w:r>
    </w:p>
    <w:p w:rsidR="001F2B72" w:rsidRPr="00FF2EE0" w:rsidRDefault="001F2B72" w:rsidP="001F2B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Ukupno izvor 52: 30</w:t>
      </w:r>
      <w:r w:rsidR="005A2FF1" w:rsidRPr="00FF2EE0">
        <w:rPr>
          <w:rFonts w:ascii="Times New Roman" w:hAnsi="Times New Roman" w:cs="Times New Roman"/>
          <w:sz w:val="24"/>
          <w:szCs w:val="24"/>
        </w:rPr>
        <w:t>3</w:t>
      </w:r>
      <w:r w:rsidRPr="00FF2EE0">
        <w:rPr>
          <w:rFonts w:ascii="Times New Roman" w:hAnsi="Times New Roman" w:cs="Times New Roman"/>
          <w:sz w:val="24"/>
          <w:szCs w:val="24"/>
        </w:rPr>
        <w:t>.</w:t>
      </w:r>
      <w:r w:rsidR="005A2FF1" w:rsidRPr="00FF2EE0">
        <w:rPr>
          <w:rFonts w:ascii="Times New Roman" w:hAnsi="Times New Roman" w:cs="Times New Roman"/>
          <w:sz w:val="24"/>
          <w:szCs w:val="24"/>
        </w:rPr>
        <w:t>50</w:t>
      </w:r>
      <w:r w:rsidRPr="00FF2EE0">
        <w:rPr>
          <w:rFonts w:ascii="Times New Roman" w:hAnsi="Times New Roman" w:cs="Times New Roman"/>
          <w:sz w:val="24"/>
          <w:szCs w:val="24"/>
        </w:rPr>
        <w:t>0 EUR</w:t>
      </w:r>
    </w:p>
    <w:p w:rsidR="00EC2872" w:rsidRPr="00FF2EE0" w:rsidRDefault="00EC2872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B72" w:rsidRPr="00FF2EE0" w:rsidRDefault="001F2B72" w:rsidP="001F2B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Izvor financiranja 51:</w:t>
      </w:r>
    </w:p>
    <w:p w:rsidR="001F2B72" w:rsidRPr="00FF2EE0" w:rsidRDefault="001F2B72" w:rsidP="001F2B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Rashodi za zaposlene: </w:t>
      </w:r>
      <w:r w:rsidR="005A2FF1" w:rsidRPr="00FF2EE0">
        <w:rPr>
          <w:rFonts w:ascii="Times New Roman" w:hAnsi="Times New Roman" w:cs="Times New Roman"/>
          <w:sz w:val="24"/>
          <w:szCs w:val="24"/>
        </w:rPr>
        <w:t>20.000</w:t>
      </w:r>
      <w:r w:rsidRPr="00FF2EE0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1F2B72" w:rsidRPr="00FF2EE0" w:rsidRDefault="001F2B72" w:rsidP="001F2B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Materijalni rashodi: </w:t>
      </w:r>
      <w:r w:rsidR="005A2FF1" w:rsidRPr="00FF2EE0">
        <w:rPr>
          <w:rFonts w:ascii="Times New Roman" w:hAnsi="Times New Roman" w:cs="Times New Roman"/>
          <w:sz w:val="24"/>
          <w:szCs w:val="24"/>
        </w:rPr>
        <w:t>8.060</w:t>
      </w:r>
      <w:r w:rsidRPr="00FF2EE0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1F2B72" w:rsidRPr="00FF2EE0" w:rsidRDefault="001F2B72" w:rsidP="001F2B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Ukupno izvor 51: </w:t>
      </w:r>
      <w:r w:rsidR="005A2FF1" w:rsidRPr="00FF2EE0">
        <w:rPr>
          <w:rFonts w:ascii="Times New Roman" w:hAnsi="Times New Roman" w:cs="Times New Roman"/>
          <w:sz w:val="24"/>
          <w:szCs w:val="24"/>
        </w:rPr>
        <w:t>28.060</w:t>
      </w:r>
      <w:r w:rsidRPr="00FF2EE0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0019EB" w:rsidRPr="00FF2EE0" w:rsidRDefault="000019EB" w:rsidP="001F2B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EEB" w:rsidRPr="00FF2EE0" w:rsidRDefault="00CC2EEB" w:rsidP="00CC2EE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59E" w:rsidRPr="00FF2EE0" w:rsidRDefault="008D23EE" w:rsidP="00553FC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EC2872" w:rsidRPr="00FF2EE0">
        <w:rPr>
          <w:rFonts w:ascii="Times New Roman" w:hAnsi="Times New Roman" w:cs="Times New Roman"/>
          <w:b/>
          <w:sz w:val="24"/>
          <w:szCs w:val="24"/>
        </w:rPr>
        <w:t xml:space="preserve">Institut </w:t>
      </w:r>
      <w:r w:rsidR="000019EB" w:rsidRPr="00FF2EE0">
        <w:rPr>
          <w:rFonts w:ascii="Times New Roman" w:hAnsi="Times New Roman" w:cs="Times New Roman"/>
          <w:b/>
          <w:sz w:val="24"/>
          <w:szCs w:val="24"/>
        </w:rPr>
        <w:t>u okviru aktivnosti</w:t>
      </w:r>
      <w:r w:rsidR="001F7B4D">
        <w:rPr>
          <w:rFonts w:ascii="Times New Roman" w:hAnsi="Times New Roman" w:cs="Times New Roman"/>
          <w:b/>
          <w:sz w:val="24"/>
          <w:szCs w:val="24"/>
        </w:rPr>
        <w:t xml:space="preserve"> A444444</w:t>
      </w:r>
      <w:r w:rsidR="000019EB" w:rsidRPr="00FF2EE0">
        <w:rPr>
          <w:rFonts w:ascii="Times New Roman" w:hAnsi="Times New Roman" w:cs="Times New Roman"/>
          <w:b/>
          <w:sz w:val="24"/>
          <w:szCs w:val="24"/>
        </w:rPr>
        <w:t xml:space="preserve"> provodi sljedeće projekte</w:t>
      </w:r>
      <w:r w:rsidR="00EC2872" w:rsidRPr="00FF2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9EB" w:rsidRPr="00FF2EE0">
        <w:rPr>
          <w:rFonts w:ascii="Times New Roman" w:hAnsi="Times New Roman" w:cs="Times New Roman"/>
          <w:b/>
          <w:sz w:val="24"/>
          <w:szCs w:val="24"/>
        </w:rPr>
        <w:t>financirane nacionalnim sredstvima, izvor 52:</w:t>
      </w:r>
    </w:p>
    <w:p w:rsidR="000019EB" w:rsidRPr="00FF2EE0" w:rsidRDefault="000019EB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0019EB" w:rsidP="00553FC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E0">
        <w:rPr>
          <w:rFonts w:ascii="Times New Roman" w:hAnsi="Times New Roman" w:cs="Times New Roman"/>
          <w:b/>
          <w:sz w:val="24"/>
          <w:szCs w:val="24"/>
        </w:rPr>
        <w:t>1.</w:t>
      </w:r>
      <w:r w:rsidR="00EC2872" w:rsidRPr="00FF2EE0">
        <w:rPr>
          <w:rFonts w:ascii="Times New Roman" w:hAnsi="Times New Roman" w:cs="Times New Roman"/>
          <w:b/>
          <w:sz w:val="24"/>
          <w:szCs w:val="24"/>
        </w:rPr>
        <w:t xml:space="preserve"> Projekt razvoja karijere mladih istraživača – i</w:t>
      </w:r>
      <w:r w:rsidR="00C44C0E" w:rsidRPr="00FF2EE0">
        <w:rPr>
          <w:rFonts w:ascii="Times New Roman" w:hAnsi="Times New Roman" w:cs="Times New Roman"/>
          <w:b/>
          <w:sz w:val="24"/>
          <w:szCs w:val="24"/>
        </w:rPr>
        <w:t>zobrazba novih doktora znanosti.</w:t>
      </w:r>
      <w:r w:rsidR="00EC2872" w:rsidRPr="00FF2EE0">
        <w:rPr>
          <w:rFonts w:ascii="Times New Roman" w:hAnsi="Times New Roman" w:cs="Times New Roman"/>
          <w:b/>
          <w:sz w:val="24"/>
          <w:szCs w:val="24"/>
        </w:rPr>
        <w:t xml:space="preserve"> Projekt </w:t>
      </w:r>
      <w:r w:rsidR="002E6F91" w:rsidRPr="00FF2EE0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EC2872" w:rsidRPr="00FF2EE0">
        <w:rPr>
          <w:rFonts w:ascii="Times New Roman" w:hAnsi="Times New Roman" w:cs="Times New Roman"/>
          <w:b/>
          <w:sz w:val="24"/>
          <w:szCs w:val="24"/>
        </w:rPr>
        <w:t>financiran od strane H</w:t>
      </w:r>
      <w:r w:rsidR="002E6F91" w:rsidRPr="00FF2EE0">
        <w:rPr>
          <w:rFonts w:ascii="Times New Roman" w:hAnsi="Times New Roman" w:cs="Times New Roman"/>
          <w:b/>
          <w:sz w:val="24"/>
          <w:szCs w:val="24"/>
        </w:rPr>
        <w:t>rvatske zaklade za znanost,</w:t>
      </w:r>
      <w:r w:rsidR="00EC2872" w:rsidRPr="00FF2EE0">
        <w:rPr>
          <w:rFonts w:ascii="Times New Roman" w:hAnsi="Times New Roman" w:cs="Times New Roman"/>
          <w:b/>
          <w:sz w:val="24"/>
          <w:szCs w:val="24"/>
        </w:rPr>
        <w:t xml:space="preserve"> izvor </w:t>
      </w:r>
      <w:r w:rsidR="001A1FE5" w:rsidRPr="00FF2EE0">
        <w:rPr>
          <w:rFonts w:ascii="Times New Roman" w:hAnsi="Times New Roman" w:cs="Times New Roman"/>
          <w:b/>
          <w:sz w:val="24"/>
          <w:szCs w:val="24"/>
        </w:rPr>
        <w:t>52</w:t>
      </w:r>
      <w:r w:rsidR="00EC2872" w:rsidRPr="00FF2EE0">
        <w:rPr>
          <w:rFonts w:ascii="Times New Roman" w:hAnsi="Times New Roman" w:cs="Times New Roman"/>
          <w:b/>
          <w:sz w:val="24"/>
          <w:szCs w:val="24"/>
        </w:rPr>
        <w:t>.</w:t>
      </w: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Projekt je započeo 2021. godine, a završava 2025. godine.</w:t>
      </w:r>
    </w:p>
    <w:p w:rsidR="00DA7DFE" w:rsidRDefault="00DA7DFE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Za troškove plaće i materijalnih prava doktoranda u 2024. godini je planiran iznos od 24.000,00 EUR, a u 2025. godini iznos od 18.000,00 EUR.</w:t>
      </w:r>
    </w:p>
    <w:p w:rsidR="00B6451E" w:rsidRPr="00FF2EE0" w:rsidRDefault="00B6451E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DFE" w:rsidRPr="00FF2EE0" w:rsidRDefault="000019EB" w:rsidP="00553FC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E0">
        <w:rPr>
          <w:rFonts w:ascii="Times New Roman" w:hAnsi="Times New Roman" w:cs="Times New Roman"/>
          <w:b/>
          <w:sz w:val="24"/>
          <w:szCs w:val="24"/>
        </w:rPr>
        <w:t>2.</w:t>
      </w:r>
      <w:r w:rsidR="00EC2872" w:rsidRPr="00FF2EE0">
        <w:rPr>
          <w:rFonts w:ascii="Times New Roman" w:hAnsi="Times New Roman" w:cs="Times New Roman"/>
          <w:b/>
          <w:sz w:val="24"/>
          <w:szCs w:val="24"/>
        </w:rPr>
        <w:t xml:space="preserve"> Potpora kojom se sufinancira analiza sjemena soje na prisutnost genetski modificiranih organizama (GMO)</w:t>
      </w:r>
      <w:r w:rsidR="00AA428C">
        <w:rPr>
          <w:rFonts w:ascii="Times New Roman" w:hAnsi="Times New Roman" w:cs="Times New Roman"/>
          <w:b/>
          <w:sz w:val="24"/>
          <w:szCs w:val="24"/>
        </w:rPr>
        <w:t>, izvor 52</w:t>
      </w:r>
    </w:p>
    <w:p w:rsidR="00EC2872" w:rsidRPr="00FF2EE0" w:rsidRDefault="00EC2872" w:rsidP="00DA7D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Potpora </w:t>
      </w:r>
      <w:r w:rsidR="00426299" w:rsidRPr="00FF2EE0">
        <w:rPr>
          <w:rFonts w:ascii="Times New Roman" w:hAnsi="Times New Roman" w:cs="Times New Roman"/>
          <w:sz w:val="24"/>
          <w:szCs w:val="24"/>
        </w:rPr>
        <w:t xml:space="preserve">je </w:t>
      </w:r>
      <w:r w:rsidRPr="00FF2EE0">
        <w:rPr>
          <w:rFonts w:ascii="Times New Roman" w:hAnsi="Times New Roman" w:cs="Times New Roman"/>
          <w:sz w:val="24"/>
          <w:szCs w:val="24"/>
        </w:rPr>
        <w:t>financirana od strane Ministarstva poljoprivrede, izvor 52. Aktivnost se provodi svake godine.</w:t>
      </w:r>
      <w:r w:rsidR="00DA7DFE" w:rsidRPr="00FF2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DFE" w:rsidRDefault="00DA7DFE" w:rsidP="00DA7D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U 2024. godini planiran je iznos od</w:t>
      </w:r>
      <w:r w:rsidR="00A0259E"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Pr="00FF2EE0">
        <w:rPr>
          <w:rFonts w:ascii="Times New Roman" w:hAnsi="Times New Roman" w:cs="Times New Roman"/>
          <w:sz w:val="24"/>
          <w:szCs w:val="24"/>
        </w:rPr>
        <w:t>13.000,00 EUR za troškove analize sjemena soje, a isti iznos je planiran u 2025. i 2026. godini.</w:t>
      </w:r>
    </w:p>
    <w:p w:rsidR="00B6451E" w:rsidRPr="00FF2EE0" w:rsidRDefault="00B6451E" w:rsidP="00DA7D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DFE" w:rsidRPr="00FF2EE0" w:rsidRDefault="00DA7DFE" w:rsidP="00DA7DF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DFE" w:rsidRPr="00FF2EE0" w:rsidRDefault="000019EB" w:rsidP="0042629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F2EE0">
        <w:rPr>
          <w:rFonts w:ascii="Times New Roman" w:hAnsi="Times New Roman" w:cs="Times New Roman"/>
          <w:b/>
          <w:sz w:val="24"/>
          <w:szCs w:val="24"/>
        </w:rPr>
        <w:t>3.</w:t>
      </w:r>
      <w:r w:rsidR="00EC2872" w:rsidRPr="00FF2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299" w:rsidRPr="00FF2EE0">
        <w:rPr>
          <w:rFonts w:ascii="Times New Roman" w:hAnsi="Times New Roman"/>
          <w:b/>
          <w:sz w:val="24"/>
          <w:szCs w:val="24"/>
        </w:rPr>
        <w:t>Sudjelovanje u provedbi Nacionalnog programa očuvanja i održive uporabe biljnih genetskih izvora za hranu i poljoprivredu</w:t>
      </w:r>
      <w:r w:rsidR="00B6451E">
        <w:rPr>
          <w:rFonts w:ascii="Times New Roman" w:hAnsi="Times New Roman"/>
          <w:b/>
          <w:sz w:val="24"/>
          <w:szCs w:val="24"/>
        </w:rPr>
        <w:t>, izvor 52</w:t>
      </w:r>
      <w:r w:rsidR="00426299" w:rsidRPr="00FF2EE0">
        <w:rPr>
          <w:rFonts w:ascii="Times New Roman" w:hAnsi="Times New Roman"/>
          <w:b/>
          <w:sz w:val="24"/>
          <w:szCs w:val="24"/>
        </w:rPr>
        <w:t xml:space="preserve"> </w:t>
      </w:r>
    </w:p>
    <w:p w:rsidR="00141F8E" w:rsidRPr="00FF2EE0" w:rsidRDefault="009C258B" w:rsidP="00DA7DF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2EE0">
        <w:rPr>
          <w:rFonts w:ascii="Times New Roman" w:hAnsi="Times New Roman"/>
          <w:sz w:val="24"/>
          <w:szCs w:val="24"/>
        </w:rPr>
        <w:t>Projekt je financiran od strane Ministarstva poljoprivrede, izvor 52. Aktivnost se provodi svake godine.</w:t>
      </w:r>
    </w:p>
    <w:p w:rsidR="00DA7DFE" w:rsidRPr="00FF2EE0" w:rsidRDefault="00DA7DFE" w:rsidP="00DA7D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U 2024. godini planiran je iznos od 2.000,00 EUR za nabavu opreme, a za potrošni materijal (kemikalije, gnojivo, laboratorijski materijal, voćne podloge i sl.) planiran je iznos od 3.000,00 EUR.  Na isti način je planirano u 2025. i 2026. godini.</w:t>
      </w:r>
    </w:p>
    <w:p w:rsidR="00426299" w:rsidRPr="00FF2EE0" w:rsidRDefault="00426299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Zadaci Nacionalnog programa obuhvaćaju aktivnosti vezane uz </w:t>
      </w:r>
      <w:r w:rsidRPr="00FF2EE0">
        <w:rPr>
          <w:rFonts w:ascii="Times New Roman" w:hAnsi="Times New Roman" w:cs="Times New Roman"/>
          <w:i/>
          <w:iCs/>
          <w:sz w:val="24"/>
          <w:szCs w:val="24"/>
        </w:rPr>
        <w:t>ex situ</w:t>
      </w:r>
      <w:r w:rsidRPr="00FF2EE0">
        <w:rPr>
          <w:rFonts w:ascii="Times New Roman" w:hAnsi="Times New Roman" w:cs="Times New Roman"/>
          <w:sz w:val="24"/>
          <w:szCs w:val="24"/>
        </w:rPr>
        <w:t xml:space="preserve"> očuvanje, </w:t>
      </w:r>
      <w:r w:rsidRPr="00FF2EE0">
        <w:rPr>
          <w:rFonts w:ascii="Times New Roman" w:hAnsi="Times New Roman" w:cs="Times New Roman"/>
          <w:i/>
          <w:iCs/>
          <w:sz w:val="24"/>
          <w:szCs w:val="24"/>
        </w:rPr>
        <w:t>in situ</w:t>
      </w:r>
      <w:r w:rsidRPr="00FF2EE0">
        <w:rPr>
          <w:rFonts w:ascii="Times New Roman" w:hAnsi="Times New Roman" w:cs="Times New Roman"/>
          <w:sz w:val="24"/>
          <w:szCs w:val="24"/>
        </w:rPr>
        <w:t xml:space="preserve"> očuvanje i </w:t>
      </w:r>
      <w:r w:rsidRPr="00FF2EE0">
        <w:rPr>
          <w:rFonts w:ascii="Times New Roman" w:hAnsi="Times New Roman" w:cs="Times New Roman"/>
          <w:i/>
          <w:iCs/>
          <w:sz w:val="24"/>
          <w:szCs w:val="24"/>
        </w:rPr>
        <w:t>on farm</w:t>
      </w:r>
      <w:r w:rsidRPr="00FF2EE0">
        <w:rPr>
          <w:rFonts w:ascii="Times New Roman" w:hAnsi="Times New Roman" w:cs="Times New Roman"/>
          <w:sz w:val="24"/>
          <w:szCs w:val="24"/>
        </w:rPr>
        <w:t xml:space="preserve"> upravljanje, održivo korištenje te izgradnju ljudskih i institucionalnih kapaciteta za očuvanje biljnih genetskih izvora za hranu i poljoprivredu. Za potrebe provođenja Nacionalnog programa Povjerenstvo za biljne genetske izvore donosi Godišnji program aktivnosti koji je odobren od strane Ministarstva poljoprivrede Republike Hrvatske. </w:t>
      </w:r>
      <w:r w:rsidRPr="00FF2EE0">
        <w:rPr>
          <w:rFonts w:ascii="Times New Roman" w:hAnsi="Times New Roman" w:cs="Times New Roman"/>
          <w:sz w:val="24"/>
          <w:szCs w:val="24"/>
        </w:rPr>
        <w:lastRenderedPageBreak/>
        <w:t>Nacionalnu banku biljnih gena čini 11 znanstvenih institucija koje se bave prikupljanjem i očuvanjem biljnih genetskih izvora, a jedna od članica je i Poljoprivredni institut Osijek. Kako bi se održala funkcionalnost Nacionalne banke biljnih gena neophodno je zadržati financiranje osnovnih materijalnih sredstava iz državnog proračuna.</w:t>
      </w:r>
    </w:p>
    <w:p w:rsidR="00731754" w:rsidRDefault="0044385D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Sredstva su </w:t>
      </w:r>
      <w:r w:rsidR="00426299" w:rsidRPr="00FF2EE0">
        <w:rPr>
          <w:rFonts w:ascii="Times New Roman" w:hAnsi="Times New Roman" w:cs="Times New Roman"/>
          <w:sz w:val="24"/>
          <w:szCs w:val="24"/>
        </w:rPr>
        <w:t xml:space="preserve">planirana za održavanje postojećih kolekcija nasada voćaka, umnažanje ex situ sjemena iz kolekcije Instituta te ostale administrativne troškove koji su vezani za navedene aktivnosti. Od 1.1.2023. godine Nacionalni program očuvanja i održive uporabe biljnih genetskih izvora za hranu i poljoprivredu </w:t>
      </w:r>
      <w:r w:rsidR="00E8634E" w:rsidRPr="00FF2EE0">
        <w:rPr>
          <w:rFonts w:ascii="Times New Roman" w:hAnsi="Times New Roman" w:cs="Times New Roman"/>
          <w:sz w:val="24"/>
          <w:szCs w:val="24"/>
        </w:rPr>
        <w:t>je</w:t>
      </w:r>
      <w:r w:rsidR="00426299" w:rsidRPr="00FF2EE0">
        <w:rPr>
          <w:rFonts w:ascii="Times New Roman" w:hAnsi="Times New Roman" w:cs="Times New Roman"/>
          <w:sz w:val="24"/>
          <w:szCs w:val="24"/>
        </w:rPr>
        <w:t xml:space="preserve"> prilagođen po smjernicama Nacrta Strateškog plana Zajedničke poljoprivredne politike Republike Hrvatske 2023.- 2027.</w:t>
      </w:r>
    </w:p>
    <w:p w:rsidR="00B6451E" w:rsidRPr="00FF2EE0" w:rsidRDefault="00B6451E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8CD" w:rsidRPr="00FF2EE0" w:rsidRDefault="00731754" w:rsidP="00553FC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E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916DA" w:rsidRPr="00FF2EE0">
        <w:rPr>
          <w:rFonts w:ascii="Times New Roman" w:hAnsi="Times New Roman" w:cs="Times New Roman"/>
          <w:b/>
          <w:sz w:val="24"/>
          <w:szCs w:val="24"/>
        </w:rPr>
        <w:t xml:space="preserve">Projekt u okviru </w:t>
      </w:r>
      <w:r w:rsidR="007916DA" w:rsidRPr="00FF2EE0">
        <w:rPr>
          <w:rFonts w:ascii="Times New Roman" w:hAnsi="Times New Roman" w:cs="Times New Roman"/>
          <w:b/>
        </w:rPr>
        <w:t>Program</w:t>
      </w:r>
      <w:r w:rsidR="00B6451E">
        <w:rPr>
          <w:rFonts w:ascii="Times New Roman" w:hAnsi="Times New Roman" w:cs="Times New Roman"/>
          <w:b/>
        </w:rPr>
        <w:t>a</w:t>
      </w:r>
      <w:r w:rsidR="007916DA" w:rsidRPr="00FF2EE0">
        <w:rPr>
          <w:rFonts w:ascii="Times New Roman" w:hAnsi="Times New Roman" w:cs="Times New Roman"/>
          <w:b/>
        </w:rPr>
        <w:t xml:space="preserve"> potpore za istraživanja utjecaja različitih tehnologija i agrotehničkih mjera na održavanje matičnih nasada visokih kategorija za razdoblje 2022. – 2024.</w:t>
      </w:r>
      <w:r w:rsidR="00B6451E">
        <w:rPr>
          <w:rFonts w:ascii="Times New Roman" w:hAnsi="Times New Roman" w:cs="Times New Roman"/>
          <w:b/>
        </w:rPr>
        <w:t>, izvor 52</w:t>
      </w:r>
    </w:p>
    <w:p w:rsidR="006928CD" w:rsidRDefault="007916DA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Projekt ja započeo 2022.</w:t>
      </w:r>
      <w:r w:rsidR="00784798" w:rsidRPr="00FF2EE0">
        <w:rPr>
          <w:rFonts w:ascii="Times New Roman" w:hAnsi="Times New Roman" w:cs="Times New Roman"/>
          <w:sz w:val="24"/>
          <w:szCs w:val="24"/>
        </w:rPr>
        <w:t>, a završava 2024.</w:t>
      </w:r>
      <w:r w:rsidRPr="00FF2EE0">
        <w:rPr>
          <w:rFonts w:ascii="Times New Roman" w:hAnsi="Times New Roman" w:cs="Times New Roman"/>
          <w:sz w:val="24"/>
          <w:szCs w:val="24"/>
        </w:rPr>
        <w:t xml:space="preserve"> godine</w:t>
      </w:r>
      <w:r w:rsidR="00784798" w:rsidRPr="00FF2EE0">
        <w:rPr>
          <w:rFonts w:ascii="Times New Roman" w:hAnsi="Times New Roman" w:cs="Times New Roman"/>
          <w:sz w:val="24"/>
          <w:szCs w:val="24"/>
        </w:rPr>
        <w:t>, financiran je od strane Ministarstva poljoprivrede, izvor 52.</w:t>
      </w:r>
    </w:p>
    <w:p w:rsidR="004E6908" w:rsidRPr="004E6908" w:rsidRDefault="004E6908" w:rsidP="004E6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 w:rsidRPr="004E6908">
        <w:rPr>
          <w:rFonts w:ascii="Times New Roman" w:hAnsi="Times New Roman" w:cs="Times New Roman"/>
          <w:sz w:val="24"/>
          <w:szCs w:val="24"/>
        </w:rPr>
        <w:t xml:space="preserve"> ima za cilj poboljšati i povećati produkcijsku sposobnost i održati zdravstvenu ispravnost u proizvodnji plemki, odnosno pupova domaćeg reprodukcijskog voćnog sadnog materijala jezgričavog,  koštičavog i lupinastog voća, što je temeljna pretpostavka sigurne, održive i konkurentne voćarske proizvodnje. </w:t>
      </w:r>
    </w:p>
    <w:p w:rsidR="004E6908" w:rsidRPr="004E6908" w:rsidRDefault="004E6908" w:rsidP="004E6908">
      <w:pPr>
        <w:jc w:val="both"/>
        <w:rPr>
          <w:rFonts w:ascii="Times New Roman" w:hAnsi="Times New Roman" w:cs="Times New Roman"/>
          <w:sz w:val="24"/>
          <w:szCs w:val="24"/>
        </w:rPr>
      </w:pPr>
      <w:r w:rsidRPr="004E6908">
        <w:rPr>
          <w:rFonts w:ascii="Times New Roman" w:hAnsi="Times New Roman" w:cs="Times New Roman"/>
          <w:sz w:val="24"/>
          <w:szCs w:val="24"/>
        </w:rPr>
        <w:t xml:space="preserve">Cilj programa će se postići provedbom sljedećih podciljeva i aktivnosti: </w:t>
      </w:r>
    </w:p>
    <w:p w:rsidR="004E6908" w:rsidRPr="004E6908" w:rsidRDefault="004E6908" w:rsidP="004E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908">
        <w:rPr>
          <w:rFonts w:ascii="Times New Roman" w:hAnsi="Times New Roman" w:cs="Times New Roman"/>
          <w:sz w:val="24"/>
          <w:szCs w:val="24"/>
        </w:rPr>
        <w:t>1. Utvrditi minimalni broj zaštitnih tretmana matičnjaka uz pravovremene rokove i primjenu adekvatnih mehanizama djelovanja kako bi se postigla maksimalna zdravstvena ispravnost matičnog nasada u skladu s</w:t>
      </w:r>
      <w:r w:rsidR="00AA428C">
        <w:rPr>
          <w:rFonts w:ascii="Times New Roman" w:hAnsi="Times New Roman" w:cs="Times New Roman"/>
          <w:sz w:val="24"/>
          <w:szCs w:val="24"/>
        </w:rPr>
        <w:t xml:space="preserve"> pozitivnim utjecajem na okoliš</w:t>
      </w:r>
    </w:p>
    <w:p w:rsidR="004E6908" w:rsidRPr="004E6908" w:rsidRDefault="004E6908" w:rsidP="004E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908">
        <w:rPr>
          <w:rFonts w:ascii="Times New Roman" w:hAnsi="Times New Roman" w:cs="Times New Roman"/>
          <w:sz w:val="24"/>
          <w:szCs w:val="24"/>
        </w:rPr>
        <w:t>2. Istražiti utjecaj različitih tretmana rezidbe, gnojidbe, navodnjavanja na fenološka svojstava matičnjaka i produktivnost</w:t>
      </w:r>
      <w:r w:rsidR="00AA428C">
        <w:rPr>
          <w:rFonts w:ascii="Times New Roman" w:hAnsi="Times New Roman" w:cs="Times New Roman"/>
          <w:sz w:val="24"/>
          <w:szCs w:val="24"/>
        </w:rPr>
        <w:t xml:space="preserve"> plemki</w:t>
      </w:r>
      <w:r w:rsidRPr="004E6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908" w:rsidRPr="004E6908" w:rsidRDefault="004E6908" w:rsidP="004E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908">
        <w:rPr>
          <w:rFonts w:ascii="Times New Roman" w:hAnsi="Times New Roman" w:cs="Times New Roman"/>
          <w:sz w:val="24"/>
          <w:szCs w:val="24"/>
        </w:rPr>
        <w:t>3. Testiranje pomoloških osobina plodova za provjeru sortne čistoće</w:t>
      </w:r>
    </w:p>
    <w:p w:rsidR="004E6908" w:rsidRDefault="004E6908" w:rsidP="004E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908">
        <w:rPr>
          <w:rFonts w:ascii="Times New Roman" w:hAnsi="Times New Roman" w:cs="Times New Roman"/>
          <w:sz w:val="24"/>
          <w:szCs w:val="24"/>
        </w:rPr>
        <w:t>4. Istražiti osjetljivost novih sorti na biotske i abiotske čimbenike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6908" w:rsidRPr="004E6908" w:rsidRDefault="004E6908" w:rsidP="004E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6908" w:rsidRDefault="004E6908" w:rsidP="004E6908">
      <w:pPr>
        <w:jc w:val="both"/>
        <w:rPr>
          <w:rFonts w:ascii="Times New Roman" w:hAnsi="Times New Roman" w:cs="Times New Roman"/>
          <w:sz w:val="24"/>
          <w:szCs w:val="24"/>
        </w:rPr>
      </w:pPr>
      <w:r w:rsidRPr="004E6908">
        <w:rPr>
          <w:rFonts w:ascii="Times New Roman" w:hAnsi="Times New Roman" w:cs="Times New Roman"/>
          <w:sz w:val="24"/>
          <w:szCs w:val="24"/>
        </w:rPr>
        <w:t>Na pokušalištu Instituta provoditi će se istraživanje vezano za integriranu zaštitu matičnjaka  kontinentalnih voćnih vrsta i agruma na otvorenom kako bi se očuvala bioraznolikost  i pritom će se provesti praćenje pojave patogena u uvjetima različitih agroklimatskih čimbenika. Provoditi će se praćenje fenoloških svojstava matičnih stabala u kategoriji osnovni u odnosu na različite tehnike rezidbe te programe prihrane i turnuse navodnjavanja. Također, obavljati će se kontrola i praćenje autentičnosti vrsta i sorti matičnih biljaka prema propisanim deskriptorima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6908" w:rsidRDefault="004E6908" w:rsidP="004E6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 godini planirani su</w:t>
      </w:r>
      <w:r w:rsidR="00244633">
        <w:rPr>
          <w:rFonts w:ascii="Times New Roman" w:hAnsi="Times New Roman" w:cs="Times New Roman"/>
          <w:sz w:val="24"/>
          <w:szCs w:val="24"/>
        </w:rPr>
        <w:t xml:space="preserve"> troškovi analiza matičnih stabala na viruse i troškovi ozdravlj</w:t>
      </w:r>
      <w:r w:rsidR="0087623C">
        <w:rPr>
          <w:rFonts w:ascii="Times New Roman" w:hAnsi="Times New Roman" w:cs="Times New Roman"/>
          <w:sz w:val="24"/>
          <w:szCs w:val="24"/>
        </w:rPr>
        <w:t>i</w:t>
      </w:r>
      <w:r w:rsidR="00244633">
        <w:rPr>
          <w:rFonts w:ascii="Times New Roman" w:hAnsi="Times New Roman" w:cs="Times New Roman"/>
          <w:sz w:val="24"/>
          <w:szCs w:val="24"/>
        </w:rPr>
        <w:t xml:space="preserve">vanja i čuvanja matičnih biljaka u iznosu od </w:t>
      </w:r>
      <w:r w:rsidR="00152C67">
        <w:rPr>
          <w:rFonts w:ascii="Times New Roman" w:hAnsi="Times New Roman" w:cs="Times New Roman"/>
          <w:sz w:val="24"/>
          <w:szCs w:val="24"/>
        </w:rPr>
        <w:t xml:space="preserve">4.130,00 EUR, troškovi </w:t>
      </w:r>
      <w:r w:rsidR="00723D54">
        <w:rPr>
          <w:rFonts w:ascii="Times New Roman" w:hAnsi="Times New Roman" w:cs="Times New Roman"/>
          <w:sz w:val="24"/>
          <w:szCs w:val="24"/>
        </w:rPr>
        <w:t xml:space="preserve">nabave matičnih biljaka i </w:t>
      </w:r>
      <w:r w:rsidR="00152C67">
        <w:rPr>
          <w:rFonts w:ascii="Times New Roman" w:hAnsi="Times New Roman" w:cs="Times New Roman"/>
          <w:sz w:val="24"/>
          <w:szCs w:val="24"/>
        </w:rPr>
        <w:t>potrošnog materijala (gnojivo, zaštitna sredstva, voćne podloge, kemikalije, i sl.)</w:t>
      </w:r>
      <w:r w:rsidR="00D00983">
        <w:rPr>
          <w:rFonts w:ascii="Times New Roman" w:hAnsi="Times New Roman" w:cs="Times New Roman"/>
          <w:sz w:val="24"/>
          <w:szCs w:val="24"/>
        </w:rPr>
        <w:t xml:space="preserve"> u iznosu od 8.500,00 EUR</w:t>
      </w:r>
      <w:r w:rsidR="00723D54">
        <w:rPr>
          <w:rFonts w:ascii="Times New Roman" w:hAnsi="Times New Roman" w:cs="Times New Roman"/>
          <w:sz w:val="24"/>
          <w:szCs w:val="24"/>
        </w:rPr>
        <w:t>, troškovi službenih putovanja u iznosu od 1.500,00 EUR, troškovi usluga tekućeg i investicijskog održavanja opreme u iznosu od 4.000,00 EUR te troškovi zaposlenika na projektu u iznosu od 21.870,00 EUR.</w:t>
      </w:r>
    </w:p>
    <w:tbl>
      <w:tblPr>
        <w:tblStyle w:val="TableGrid"/>
        <w:tblW w:w="8412" w:type="dxa"/>
        <w:tblLook w:val="04A0" w:firstRow="1" w:lastRow="0" w:firstColumn="1" w:lastColumn="0" w:noHBand="0" w:noVBand="1"/>
      </w:tblPr>
      <w:tblGrid>
        <w:gridCol w:w="2021"/>
        <w:gridCol w:w="1309"/>
        <w:gridCol w:w="1309"/>
        <w:gridCol w:w="1309"/>
        <w:gridCol w:w="1238"/>
        <w:gridCol w:w="1226"/>
      </w:tblGrid>
      <w:tr w:rsidR="00E220B9" w:rsidRPr="00FF2EE0" w:rsidTr="008E05CA">
        <w:trPr>
          <w:trHeight w:val="461"/>
        </w:trPr>
        <w:tc>
          <w:tcPr>
            <w:tcW w:w="2021" w:type="dxa"/>
            <w:shd w:val="clear" w:color="auto" w:fill="D9D9D9" w:themeFill="background1" w:themeFillShade="D9"/>
          </w:tcPr>
          <w:p w:rsidR="00E220B9" w:rsidRPr="00FF2EE0" w:rsidRDefault="00E220B9" w:rsidP="008E05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0B9" w:rsidRPr="00FF2EE0" w:rsidRDefault="00E220B9" w:rsidP="008E05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:rsidR="00E220B9" w:rsidRPr="00FF2EE0" w:rsidRDefault="00E220B9" w:rsidP="008E05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Izvršenje 2022.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:rsidR="00E220B9" w:rsidRPr="00FF2EE0" w:rsidRDefault="00E220B9" w:rsidP="008E05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2023.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:rsidR="00E220B9" w:rsidRPr="00FF2EE0" w:rsidRDefault="00E220B9" w:rsidP="008E05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2024.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:rsidR="00E220B9" w:rsidRPr="00FF2EE0" w:rsidRDefault="00E220B9" w:rsidP="008E05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2025.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:rsidR="00E220B9" w:rsidRPr="00FF2EE0" w:rsidRDefault="00E220B9" w:rsidP="008E05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2026.</w:t>
            </w:r>
          </w:p>
        </w:tc>
      </w:tr>
      <w:tr w:rsidR="00E220B9" w:rsidRPr="00FF2EE0" w:rsidTr="008E05CA">
        <w:trPr>
          <w:trHeight w:val="613"/>
        </w:trPr>
        <w:tc>
          <w:tcPr>
            <w:tcW w:w="2021" w:type="dxa"/>
            <w:vAlign w:val="center"/>
          </w:tcPr>
          <w:p w:rsidR="00E220B9" w:rsidRDefault="00E220B9" w:rsidP="008E0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A444444 </w:t>
            </w:r>
          </w:p>
          <w:p w:rsidR="00E220B9" w:rsidRPr="00FF2EE0" w:rsidRDefault="00E220B9" w:rsidP="008E05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Izvor 51 i 52 </w:t>
            </w:r>
            <w:r w:rsidR="008D23E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nacionalna sredstva</w:t>
            </w:r>
            <w:r w:rsidR="008D23E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09" w:type="dxa"/>
          </w:tcPr>
          <w:p w:rsidR="00E220B9" w:rsidRPr="00FF2EE0" w:rsidRDefault="00A97ED9" w:rsidP="008E05C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364D">
              <w:rPr>
                <w:rFonts w:ascii="Times New Roman" w:hAnsi="Times New Roman" w:cs="Times New Roman"/>
                <w:sz w:val="20"/>
                <w:szCs w:val="20"/>
              </w:rPr>
              <w:t>39.160</w:t>
            </w:r>
          </w:p>
        </w:tc>
        <w:tc>
          <w:tcPr>
            <w:tcW w:w="1309" w:type="dxa"/>
          </w:tcPr>
          <w:p w:rsidR="00E220B9" w:rsidRPr="00FF2EE0" w:rsidRDefault="006233F6" w:rsidP="008E05C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44.515</w:t>
            </w:r>
          </w:p>
        </w:tc>
        <w:tc>
          <w:tcPr>
            <w:tcW w:w="1309" w:type="dxa"/>
          </w:tcPr>
          <w:p w:rsidR="00E220B9" w:rsidRPr="00FF2EE0" w:rsidRDefault="00CD47DA" w:rsidP="008E05C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82.000</w:t>
            </w:r>
          </w:p>
        </w:tc>
        <w:tc>
          <w:tcPr>
            <w:tcW w:w="1238" w:type="dxa"/>
          </w:tcPr>
          <w:p w:rsidR="00E220B9" w:rsidRPr="00FF2EE0" w:rsidRDefault="00CD47DA" w:rsidP="008E05C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36.000</w:t>
            </w:r>
          </w:p>
        </w:tc>
        <w:tc>
          <w:tcPr>
            <w:tcW w:w="1226" w:type="dxa"/>
          </w:tcPr>
          <w:p w:rsidR="00E220B9" w:rsidRPr="00FF2EE0" w:rsidRDefault="00CD47DA" w:rsidP="008E05C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18.000</w:t>
            </w:r>
          </w:p>
        </w:tc>
      </w:tr>
    </w:tbl>
    <w:p w:rsidR="00E220B9" w:rsidRDefault="00E220B9" w:rsidP="00553FC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0B9" w:rsidRDefault="00E220B9" w:rsidP="00553FC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96B" w:rsidRPr="00FF2EE0" w:rsidRDefault="008D23EE" w:rsidP="00553FC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B6451E" w:rsidRPr="00FF2EE0">
        <w:rPr>
          <w:rFonts w:ascii="Times New Roman" w:hAnsi="Times New Roman" w:cs="Times New Roman"/>
          <w:b/>
          <w:sz w:val="24"/>
          <w:szCs w:val="24"/>
        </w:rPr>
        <w:t xml:space="preserve">Institut u okviru aktivnosti </w:t>
      </w:r>
      <w:r w:rsidR="0091745B">
        <w:rPr>
          <w:rFonts w:ascii="Times New Roman" w:hAnsi="Times New Roman" w:cs="Times New Roman"/>
          <w:b/>
          <w:sz w:val="24"/>
          <w:szCs w:val="24"/>
        </w:rPr>
        <w:t xml:space="preserve">A444444 </w:t>
      </w:r>
      <w:r w:rsidR="00B6451E" w:rsidRPr="00FF2EE0">
        <w:rPr>
          <w:rFonts w:ascii="Times New Roman" w:hAnsi="Times New Roman" w:cs="Times New Roman"/>
          <w:b/>
          <w:sz w:val="24"/>
          <w:szCs w:val="24"/>
        </w:rPr>
        <w:t xml:space="preserve">provodi sljedeće projekte financirane </w:t>
      </w:r>
      <w:r w:rsidR="00B6451E">
        <w:rPr>
          <w:rFonts w:ascii="Times New Roman" w:hAnsi="Times New Roman" w:cs="Times New Roman"/>
          <w:b/>
          <w:sz w:val="24"/>
          <w:szCs w:val="24"/>
        </w:rPr>
        <w:t xml:space="preserve">EU </w:t>
      </w:r>
      <w:r w:rsidR="00B6451E" w:rsidRPr="00FF2EE0">
        <w:rPr>
          <w:rFonts w:ascii="Times New Roman" w:hAnsi="Times New Roman" w:cs="Times New Roman"/>
          <w:b/>
          <w:sz w:val="24"/>
          <w:szCs w:val="24"/>
        </w:rPr>
        <w:t>sredstvima, izvor 52:</w:t>
      </w:r>
    </w:p>
    <w:p w:rsidR="006A7A33" w:rsidRPr="00FF2EE0" w:rsidRDefault="006A7A33" w:rsidP="00E454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1. Podmjera 10.2. </w:t>
      </w:r>
      <w:r w:rsidR="00A20B36">
        <w:rPr>
          <w:rFonts w:ascii="Times New Roman" w:hAnsi="Times New Roman" w:cs="Times New Roman"/>
          <w:sz w:val="24"/>
          <w:szCs w:val="24"/>
        </w:rPr>
        <w:t>P</w:t>
      </w:r>
      <w:r w:rsidRPr="00FF2EE0">
        <w:rPr>
          <w:rFonts w:ascii="Times New Roman" w:hAnsi="Times New Roman" w:cs="Times New Roman"/>
          <w:sz w:val="24"/>
          <w:szCs w:val="24"/>
        </w:rPr>
        <w:t>otpora za očuvanje, održivo korištenje i razvoj genetskih izvora u</w:t>
      </w:r>
    </w:p>
    <w:p w:rsidR="006A7A33" w:rsidRPr="00FF2EE0" w:rsidRDefault="00A20B36" w:rsidP="00E454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poljoprivredi</w:t>
      </w:r>
      <w:r w:rsidR="006A7A33" w:rsidRPr="00FF2E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7A33" w:rsidRPr="00FF2EE0" w:rsidRDefault="006A7A33" w:rsidP="00E454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2. Podmjera</w:t>
      </w:r>
      <w:r w:rsidR="00771664"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Pr="00FF2EE0">
        <w:rPr>
          <w:rFonts w:ascii="Times New Roman" w:hAnsi="Times New Roman" w:cs="Times New Roman"/>
          <w:sz w:val="24"/>
          <w:szCs w:val="24"/>
        </w:rPr>
        <w:t>17.1</w:t>
      </w:r>
      <w:r w:rsidR="00771664" w:rsidRPr="00FF2EE0">
        <w:rPr>
          <w:rFonts w:ascii="Times New Roman" w:hAnsi="Times New Roman" w:cs="Times New Roman"/>
          <w:sz w:val="24"/>
          <w:szCs w:val="24"/>
        </w:rPr>
        <w:t xml:space="preserve">. </w:t>
      </w:r>
      <w:r w:rsidRPr="00FF2EE0">
        <w:rPr>
          <w:rFonts w:ascii="Times New Roman" w:hAnsi="Times New Roman" w:cs="Times New Roman"/>
          <w:sz w:val="24"/>
          <w:szCs w:val="24"/>
        </w:rPr>
        <w:t>Osiguranje usjeva, životinja i biljaka</w:t>
      </w:r>
    </w:p>
    <w:p w:rsidR="006A7A33" w:rsidRPr="00FF2EE0" w:rsidRDefault="006A7A33" w:rsidP="00E454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3. Potpora u poljoprivredi - izravna plaćanja (osnovno plaćanje, zeleno plaćanje i</w:t>
      </w:r>
    </w:p>
    <w:p w:rsidR="006A7A33" w:rsidRPr="00FF2EE0" w:rsidRDefault="006A7A33" w:rsidP="00E454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    preraspodijeljeno plaćanje).</w:t>
      </w:r>
    </w:p>
    <w:p w:rsidR="00373E36" w:rsidRPr="00FF2EE0" w:rsidRDefault="00373E36" w:rsidP="00E454CC">
      <w:pPr>
        <w:jc w:val="both"/>
        <w:rPr>
          <w:sz w:val="28"/>
          <w:szCs w:val="28"/>
        </w:rPr>
      </w:pPr>
      <w:r w:rsidRPr="00FF2EE0">
        <w:rPr>
          <w:rFonts w:ascii="Times New Roman" w:hAnsi="Times New Roman" w:cs="Times New Roman"/>
          <w:sz w:val="24"/>
          <w:szCs w:val="24"/>
        </w:rPr>
        <w:t>4. Carbon Farming CE – Development of carbon farming in Central Europe</w:t>
      </w:r>
    </w:p>
    <w:p w:rsidR="00373E36" w:rsidRPr="00FF2EE0" w:rsidRDefault="00373E36" w:rsidP="00E454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33" w:rsidRPr="00FF2EE0" w:rsidRDefault="006A7A33" w:rsidP="006A7A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412" w:type="dxa"/>
        <w:tblLook w:val="04A0" w:firstRow="1" w:lastRow="0" w:firstColumn="1" w:lastColumn="0" w:noHBand="0" w:noVBand="1"/>
      </w:tblPr>
      <w:tblGrid>
        <w:gridCol w:w="2021"/>
        <w:gridCol w:w="1309"/>
        <w:gridCol w:w="1309"/>
        <w:gridCol w:w="1309"/>
        <w:gridCol w:w="1238"/>
        <w:gridCol w:w="1226"/>
      </w:tblGrid>
      <w:tr w:rsidR="00D53624" w:rsidRPr="00FF2EE0" w:rsidTr="00D53624">
        <w:trPr>
          <w:trHeight w:val="461"/>
        </w:trPr>
        <w:tc>
          <w:tcPr>
            <w:tcW w:w="2021" w:type="dxa"/>
            <w:shd w:val="clear" w:color="auto" w:fill="D9D9D9" w:themeFill="background1" w:themeFillShade="D9"/>
          </w:tcPr>
          <w:p w:rsidR="00D53624" w:rsidRPr="00FF2EE0" w:rsidRDefault="00D53624" w:rsidP="005F716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624" w:rsidRPr="00FF2EE0" w:rsidRDefault="00D53624" w:rsidP="005F716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:rsidR="00D53624" w:rsidRPr="00FF2EE0" w:rsidRDefault="00D53624" w:rsidP="00D536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Izvršenje 2022.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:rsidR="00D53624" w:rsidRPr="00FF2EE0" w:rsidRDefault="00D53624" w:rsidP="00D536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2023.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:rsidR="00D53624" w:rsidRPr="00FF2EE0" w:rsidRDefault="00D53624" w:rsidP="00D536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2024.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:rsidR="00D53624" w:rsidRPr="00FF2EE0" w:rsidRDefault="00D53624" w:rsidP="00D536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2025.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:rsidR="00D53624" w:rsidRPr="00FF2EE0" w:rsidRDefault="00D53624" w:rsidP="00D536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2026.</w:t>
            </w:r>
          </w:p>
        </w:tc>
      </w:tr>
      <w:tr w:rsidR="00D53624" w:rsidRPr="00FF2EE0" w:rsidTr="00D53624">
        <w:trPr>
          <w:trHeight w:val="613"/>
        </w:trPr>
        <w:tc>
          <w:tcPr>
            <w:tcW w:w="2021" w:type="dxa"/>
            <w:vAlign w:val="center"/>
          </w:tcPr>
          <w:p w:rsidR="00240CE8" w:rsidRDefault="00240CE8" w:rsidP="00240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A444444 </w:t>
            </w:r>
          </w:p>
          <w:p w:rsidR="00CD47DA" w:rsidRDefault="009B3128" w:rsidP="00240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Izvor 51 i 52</w:t>
            </w:r>
          </w:p>
          <w:p w:rsidR="00D53624" w:rsidRPr="00FF2EE0" w:rsidRDefault="00CD47DA" w:rsidP="00CD47D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D23E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 sredstva</w:t>
            </w:r>
            <w:r w:rsidR="008D23E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09" w:type="dxa"/>
          </w:tcPr>
          <w:p w:rsidR="00D53624" w:rsidRPr="00FF2EE0" w:rsidRDefault="004F4EA9" w:rsidP="00D7439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406.641</w:t>
            </w:r>
          </w:p>
        </w:tc>
        <w:tc>
          <w:tcPr>
            <w:tcW w:w="1309" w:type="dxa"/>
          </w:tcPr>
          <w:p w:rsidR="00D53624" w:rsidRPr="00FF2EE0" w:rsidRDefault="006233F6" w:rsidP="00D7439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252.485</w:t>
            </w:r>
          </w:p>
        </w:tc>
        <w:tc>
          <w:tcPr>
            <w:tcW w:w="1309" w:type="dxa"/>
          </w:tcPr>
          <w:p w:rsidR="00D53624" w:rsidRPr="00FF2EE0" w:rsidRDefault="002311AC" w:rsidP="00D7439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304.775</w:t>
            </w:r>
          </w:p>
        </w:tc>
        <w:tc>
          <w:tcPr>
            <w:tcW w:w="1238" w:type="dxa"/>
          </w:tcPr>
          <w:p w:rsidR="00D53624" w:rsidRPr="00FF2EE0" w:rsidRDefault="0044430E" w:rsidP="00D7439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352.085</w:t>
            </w:r>
          </w:p>
        </w:tc>
        <w:tc>
          <w:tcPr>
            <w:tcW w:w="1226" w:type="dxa"/>
          </w:tcPr>
          <w:p w:rsidR="00D53624" w:rsidRPr="00FF2EE0" w:rsidRDefault="002311AC" w:rsidP="00D7439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313.560</w:t>
            </w:r>
          </w:p>
        </w:tc>
      </w:tr>
    </w:tbl>
    <w:p w:rsidR="0084307D" w:rsidRPr="00FF2EE0" w:rsidRDefault="0084307D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6A7A33" w:rsidP="00553FC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E0">
        <w:rPr>
          <w:rFonts w:ascii="Times New Roman" w:hAnsi="Times New Roman" w:cs="Times New Roman"/>
          <w:b/>
          <w:sz w:val="24"/>
          <w:szCs w:val="24"/>
        </w:rPr>
        <w:t>1</w:t>
      </w:r>
      <w:r w:rsidR="00EC2872" w:rsidRPr="00FF2EE0">
        <w:rPr>
          <w:rFonts w:ascii="Times New Roman" w:hAnsi="Times New Roman" w:cs="Times New Roman"/>
          <w:b/>
          <w:sz w:val="24"/>
          <w:szCs w:val="24"/>
        </w:rPr>
        <w:t>. Podmjera 10.2. „Potpora za očuvanje, održivo korištenje i razvoj genetskih izvora u poljoprivredi"</w:t>
      </w:r>
      <w:r w:rsidR="00A60B01" w:rsidRPr="00FF2EE0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330A40" w:rsidRPr="00FF2EE0">
        <w:rPr>
          <w:rFonts w:ascii="Times New Roman" w:hAnsi="Times New Roman" w:cs="Times New Roman"/>
          <w:b/>
          <w:sz w:val="24"/>
          <w:szCs w:val="24"/>
        </w:rPr>
        <w:t>izvor 52</w:t>
      </w:r>
      <w:r w:rsidR="00EC2872" w:rsidRPr="00FF2EE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411D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Zakonske i druge pravne osnove:</w:t>
      </w:r>
    </w:p>
    <w:p w:rsidR="00253FF0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- Pravilnik o provedbi mjera Programa ruralnog razvoja Republike Hrvatske za razdoblje</w:t>
      </w:r>
    </w:p>
    <w:p w:rsidR="00253FF0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  2014. – 2020. (NN br. 91/2019, 37/2020, 31/2021, 134/2021 i 10/2023)</w:t>
      </w:r>
      <w:r w:rsidR="00E454CC" w:rsidRPr="00FF2EE0">
        <w:rPr>
          <w:rFonts w:ascii="Times New Roman" w:hAnsi="Times New Roman" w:cs="Times New Roman"/>
          <w:sz w:val="24"/>
          <w:szCs w:val="24"/>
        </w:rPr>
        <w:t>;</w:t>
      </w:r>
    </w:p>
    <w:p w:rsidR="00253FF0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F2EE0">
        <w:rPr>
          <w:rFonts w:ascii="Times New Roman" w:hAnsi="Times New Roman" w:cs="Times New Roman"/>
          <w:sz w:val="24"/>
          <w:szCs w:val="24"/>
        </w:rPr>
        <w:t>Zakon o Poljoprivredi</w:t>
      </w:r>
      <w:r w:rsidR="00E454CC" w:rsidRPr="00FF2EE0">
        <w:rPr>
          <w:rFonts w:ascii="Times New Roman" w:hAnsi="Times New Roman" w:cs="Times New Roman"/>
          <w:sz w:val="24"/>
          <w:szCs w:val="24"/>
        </w:rPr>
        <w:t>;</w:t>
      </w:r>
      <w:r w:rsidRPr="00FF2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FF0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- Zakon o zaštiti okoliša</w:t>
      </w:r>
      <w:r w:rsidR="00E454CC" w:rsidRPr="00FF2EE0">
        <w:rPr>
          <w:rFonts w:ascii="Times New Roman" w:hAnsi="Times New Roman" w:cs="Times New Roman"/>
          <w:sz w:val="24"/>
          <w:szCs w:val="24"/>
        </w:rPr>
        <w:t>;</w:t>
      </w:r>
    </w:p>
    <w:p w:rsidR="00253FF0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- Zakon o znanstvenoj djelatnosti i visokom obrazovanju;</w:t>
      </w:r>
    </w:p>
    <w:p w:rsidR="00253FF0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- Zakon o ustanovama; </w:t>
      </w:r>
    </w:p>
    <w:p w:rsidR="00253FF0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- Zakon o osiguranju kvalitete u znanosti i visokom obrazovanju; </w:t>
      </w:r>
    </w:p>
    <w:p w:rsidR="00253FF0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- Strateški plan Zajedničke poljoprivredne politike Republike Hrvatske 2023. - 2027.</w:t>
      </w:r>
      <w:r w:rsidR="00E454CC" w:rsidRPr="00FF2EE0">
        <w:rPr>
          <w:rFonts w:ascii="Times New Roman" w:hAnsi="Times New Roman" w:cs="Times New Roman"/>
          <w:sz w:val="24"/>
          <w:szCs w:val="24"/>
        </w:rPr>
        <w:t>;</w:t>
      </w:r>
    </w:p>
    <w:p w:rsidR="00253FF0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- Nacrt strategije poljoprivrede Hrvatska  2020. - 2030.</w:t>
      </w:r>
      <w:r w:rsidR="00E454CC" w:rsidRPr="00FF2EE0">
        <w:rPr>
          <w:rFonts w:ascii="Times New Roman" w:hAnsi="Times New Roman" w:cs="Times New Roman"/>
          <w:sz w:val="24"/>
          <w:szCs w:val="24"/>
        </w:rPr>
        <w:t>;</w:t>
      </w:r>
      <w:r w:rsidRPr="00FF2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FF0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lastRenderedPageBreak/>
        <w:t>- Statut Poljoprivrednog instituta Osijek;</w:t>
      </w:r>
    </w:p>
    <w:p w:rsidR="00253FF0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- Strateški program rada i razvoja Poljoprivrednog instituta Osijek za razdoblje </w:t>
      </w:r>
    </w:p>
    <w:p w:rsidR="00253FF0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  2021.-2025.</w:t>
      </w:r>
    </w:p>
    <w:p w:rsidR="00253FF0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F0" w:rsidRDefault="00253FF0" w:rsidP="00253F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Ciljevi projekta su definirani Nacionalnim programom očuvanja i održive uporabe biljnih genetskih izvora za hranu i poljoprivredu u Republici Hrvatskoj za razdoblje od 2021. do 2027. godine. Projekt se financira iz sredstava Europskog poljoprivrednog fonda za ruralni razvoj (85%) i Republike Hrvatske (15%). Isplatitelj sredstava je Agencija za plaćanja u poljoprivredi, ribarstvu i ruralnom razvoju (APPRRR) .</w:t>
      </w:r>
    </w:p>
    <w:p w:rsidR="0083411D" w:rsidRPr="00FF2EE0" w:rsidRDefault="0083411D" w:rsidP="00253F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F0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Ciljevi: </w:t>
      </w:r>
    </w:p>
    <w:p w:rsidR="00253FF0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– potaknuti poljoprivredne prakse koje su korisne za okoliš, ublažiti negativne učinke poljoprivrede i povećati bio raznolikost, kao i očuvati genetske resurse vezane uz poljoprivredu,</w:t>
      </w:r>
      <w:r w:rsidRPr="00FF2EE0">
        <w:rPr>
          <w:rFonts w:ascii="Times New Roman" w:hAnsi="Times New Roman" w:cs="Times New Roman"/>
          <w:sz w:val="24"/>
          <w:szCs w:val="24"/>
        </w:rPr>
        <w:br/>
        <w:t>– očuvati tradicionalne biljne i životinjske vrste koje su prilagođene lokalnim uvjetima te su u opasnosti od izumiranja.</w:t>
      </w:r>
    </w:p>
    <w:p w:rsidR="00253FF0" w:rsidRPr="00FF2EE0" w:rsidRDefault="00253FF0" w:rsidP="00253F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266"/>
        <w:gridCol w:w="1243"/>
        <w:gridCol w:w="1243"/>
        <w:gridCol w:w="1242"/>
        <w:gridCol w:w="1250"/>
      </w:tblGrid>
      <w:tr w:rsidR="00253FF0" w:rsidRPr="00FF2EE0" w:rsidTr="00DB4B19">
        <w:trPr>
          <w:trHeight w:val="693"/>
        </w:trPr>
        <w:tc>
          <w:tcPr>
            <w:tcW w:w="1804" w:type="dxa"/>
            <w:shd w:val="clear" w:color="auto" w:fill="D9D9D9" w:themeFill="background1" w:themeFillShade="D9"/>
          </w:tcPr>
          <w:p w:rsidR="00253FF0" w:rsidRPr="00FF2EE0" w:rsidRDefault="00253FF0" w:rsidP="00DB4B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F0" w:rsidRPr="00FF2EE0" w:rsidRDefault="00253FF0" w:rsidP="00DB4B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Izvršenje 2022.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2023.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2024.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2025.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2026.</w:t>
            </w:r>
          </w:p>
        </w:tc>
      </w:tr>
      <w:tr w:rsidR="00253FF0" w:rsidRPr="00FF2EE0" w:rsidTr="00DB4B19">
        <w:tc>
          <w:tcPr>
            <w:tcW w:w="1804" w:type="dxa"/>
          </w:tcPr>
          <w:p w:rsidR="00642A3B" w:rsidRDefault="00642A3B" w:rsidP="00642A3B">
            <w:pPr>
              <w:spacing w:after="0"/>
              <w:ind w:firstLineChars="100" w:firstLin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A444444</w:t>
            </w:r>
          </w:p>
          <w:p w:rsidR="00240CE8" w:rsidRDefault="00253FF0" w:rsidP="00642A3B">
            <w:pPr>
              <w:spacing w:after="0"/>
              <w:ind w:firstLineChars="100"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Potpora za očuvanje, održivo korištenje i razvoj genetskih izvora u poljoprivredi</w:t>
            </w:r>
          </w:p>
          <w:p w:rsidR="008C0A28" w:rsidRDefault="00253FF0" w:rsidP="00642A3B">
            <w:pPr>
              <w:spacing w:after="0"/>
              <w:ind w:firstLineChars="100"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Podmjera 10.2.</w:t>
            </w:r>
          </w:p>
          <w:p w:rsidR="00642A3B" w:rsidRPr="00FF2EE0" w:rsidRDefault="00642A3B" w:rsidP="00642A3B">
            <w:pPr>
              <w:spacing w:after="0"/>
              <w:ind w:firstLineChars="100"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F2EE0">
              <w:rPr>
                <w:rFonts w:ascii="Times New Roman" w:hAnsi="Times New Roman" w:cs="Times New Roman"/>
                <w:b/>
                <w:sz w:val="20"/>
                <w:szCs w:val="20"/>
              </w:rPr>
              <w:t>A622125.137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53FF0" w:rsidRPr="00FF2EE0" w:rsidRDefault="008C0A28" w:rsidP="00642A3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(od 2024. Intervencija 70.05)</w:t>
            </w:r>
          </w:p>
        </w:tc>
        <w:tc>
          <w:tcPr>
            <w:tcW w:w="1266" w:type="dxa"/>
          </w:tcPr>
          <w:p w:rsidR="00253FF0" w:rsidRPr="00FF2EE0" w:rsidRDefault="00A15C97" w:rsidP="00DB4B1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49.724,27</w:t>
            </w:r>
          </w:p>
        </w:tc>
        <w:tc>
          <w:tcPr>
            <w:tcW w:w="1243" w:type="dxa"/>
          </w:tcPr>
          <w:p w:rsidR="00253FF0" w:rsidRPr="00FF2EE0" w:rsidRDefault="00FF08A6" w:rsidP="00DB4B1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64.255</w:t>
            </w:r>
          </w:p>
        </w:tc>
        <w:tc>
          <w:tcPr>
            <w:tcW w:w="1243" w:type="dxa"/>
          </w:tcPr>
          <w:p w:rsidR="00253FF0" w:rsidRPr="00FF2EE0" w:rsidRDefault="00253FF0" w:rsidP="00DB4B1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35.500,00</w:t>
            </w:r>
          </w:p>
        </w:tc>
        <w:tc>
          <w:tcPr>
            <w:tcW w:w="1242" w:type="dxa"/>
          </w:tcPr>
          <w:p w:rsidR="00253FF0" w:rsidRPr="00FF2EE0" w:rsidRDefault="00253FF0" w:rsidP="00DB4B1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59.800,00</w:t>
            </w:r>
          </w:p>
        </w:tc>
        <w:tc>
          <w:tcPr>
            <w:tcW w:w="1250" w:type="dxa"/>
          </w:tcPr>
          <w:p w:rsidR="00253FF0" w:rsidRPr="00FF2EE0" w:rsidRDefault="00253FF0" w:rsidP="00DB4B1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75.500,00</w:t>
            </w:r>
          </w:p>
        </w:tc>
      </w:tr>
    </w:tbl>
    <w:p w:rsidR="00253FF0" w:rsidRPr="00FF2EE0" w:rsidRDefault="00253FF0" w:rsidP="00253F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F0" w:rsidRPr="00FF2EE0" w:rsidRDefault="00253FF0" w:rsidP="00253F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F0" w:rsidRPr="00FF2EE0" w:rsidRDefault="00253FF0" w:rsidP="00253F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Ova aktivnost/ projekt sastoji se od sljedećih elemenata/ podaktivnosti:</w:t>
      </w:r>
    </w:p>
    <w:p w:rsidR="00253FF0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1. </w:t>
      </w:r>
      <w:r w:rsidRPr="00FF2EE0">
        <w:rPr>
          <w:rFonts w:ascii="Times New Roman" w:hAnsi="Times New Roman" w:cs="Times New Roman"/>
          <w:i/>
          <w:sz w:val="24"/>
          <w:szCs w:val="24"/>
        </w:rPr>
        <w:t>In situ</w:t>
      </w:r>
      <w:r w:rsidRPr="00FF2EE0">
        <w:rPr>
          <w:rFonts w:ascii="Times New Roman" w:hAnsi="Times New Roman" w:cs="Times New Roman"/>
          <w:sz w:val="24"/>
          <w:szCs w:val="24"/>
        </w:rPr>
        <w:t xml:space="preserve"> očuvanje divljih srodnika kultiviranog bilja (crop wild relatives - CWR) i divljeg jestivog bilja (wild food plants - WFP)</w:t>
      </w:r>
    </w:p>
    <w:p w:rsidR="00253FF0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2. </w:t>
      </w:r>
      <w:r w:rsidRPr="00FF2EE0">
        <w:rPr>
          <w:rFonts w:ascii="Times New Roman" w:hAnsi="Times New Roman" w:cs="Times New Roman"/>
          <w:i/>
          <w:sz w:val="24"/>
          <w:szCs w:val="24"/>
        </w:rPr>
        <w:t>On-farm</w:t>
      </w:r>
      <w:r w:rsidRPr="00FF2EE0">
        <w:rPr>
          <w:rFonts w:ascii="Times New Roman" w:hAnsi="Times New Roman" w:cs="Times New Roman"/>
          <w:sz w:val="24"/>
          <w:szCs w:val="24"/>
        </w:rPr>
        <w:t xml:space="preserve"> očuvanje i upravljanje</w:t>
      </w:r>
    </w:p>
    <w:p w:rsidR="00253FF0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3. </w:t>
      </w:r>
      <w:r w:rsidRPr="00FF2EE0">
        <w:rPr>
          <w:rFonts w:ascii="Times New Roman" w:hAnsi="Times New Roman" w:cs="Times New Roman"/>
          <w:i/>
          <w:sz w:val="24"/>
          <w:szCs w:val="24"/>
        </w:rPr>
        <w:t>Ex situ</w:t>
      </w:r>
      <w:r w:rsidRPr="00FF2EE0">
        <w:rPr>
          <w:rFonts w:ascii="Times New Roman" w:hAnsi="Times New Roman" w:cs="Times New Roman"/>
          <w:sz w:val="24"/>
          <w:szCs w:val="24"/>
        </w:rPr>
        <w:t xml:space="preserve"> očuvanje</w:t>
      </w:r>
    </w:p>
    <w:p w:rsidR="00253FF0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4. Promocija održive upotrebe</w:t>
      </w:r>
    </w:p>
    <w:p w:rsidR="00253FF0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5. Izgradnja kapaciteta i razmjena podataka</w:t>
      </w:r>
    </w:p>
    <w:p w:rsidR="00253FF0" w:rsidRPr="00FF2EE0" w:rsidRDefault="00253FF0" w:rsidP="00253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F0" w:rsidRPr="00FF2EE0" w:rsidRDefault="003478D8" w:rsidP="00253F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P</w:t>
      </w:r>
      <w:r w:rsidR="00253FF0" w:rsidRPr="00FF2EE0">
        <w:rPr>
          <w:rFonts w:ascii="Times New Roman" w:hAnsi="Times New Roman" w:cs="Times New Roman"/>
          <w:sz w:val="24"/>
          <w:szCs w:val="24"/>
        </w:rPr>
        <w:t>rojekt se provodi od 2018. godine s izuzetkom 2021. godine, a provedba u 2023. godini je u tijeku. Planira se njegova provedba i u razdoblju od 2024. do 2027. godine.</w:t>
      </w:r>
    </w:p>
    <w:p w:rsidR="00253FF0" w:rsidRPr="00FF2EE0" w:rsidRDefault="00253FF0" w:rsidP="00253F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lastRenderedPageBreak/>
        <w:t>Izračun financijskog plana:</w:t>
      </w:r>
    </w:p>
    <w:p w:rsidR="00253FF0" w:rsidRPr="00FF2EE0" w:rsidRDefault="00253FF0" w:rsidP="00253F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U 2024. planirana su sredstva u iznosu od 4.000 EUR za troškove terenskog rada (putni nalozi), 6.500,00 EUR za materijalne rashode (potrošni materijal za prikupljanje i regeneraciju biološkog i genetskog materijala, sirovine, folije, etikete, zaštitna sredstva,…), 12.000,00 EUR za usluge rada studenata, 2.000,00 EUR </w:t>
      </w:r>
      <w:r w:rsidR="004748A8" w:rsidRPr="00FF2EE0">
        <w:rPr>
          <w:rFonts w:ascii="Times New Roman" w:hAnsi="Times New Roman" w:cs="Times New Roman"/>
          <w:sz w:val="24"/>
          <w:szCs w:val="24"/>
        </w:rPr>
        <w:t xml:space="preserve">za </w:t>
      </w:r>
      <w:r w:rsidRPr="00FF2EE0">
        <w:rPr>
          <w:rFonts w:ascii="Times New Roman" w:hAnsi="Times New Roman" w:cs="Times New Roman"/>
          <w:sz w:val="24"/>
          <w:szCs w:val="24"/>
        </w:rPr>
        <w:t>troškov</w:t>
      </w:r>
      <w:r w:rsidR="004748A8" w:rsidRPr="00FF2EE0">
        <w:rPr>
          <w:rFonts w:ascii="Times New Roman" w:hAnsi="Times New Roman" w:cs="Times New Roman"/>
          <w:sz w:val="24"/>
          <w:szCs w:val="24"/>
        </w:rPr>
        <w:t>e</w:t>
      </w:r>
      <w:r w:rsidRPr="00FF2EE0">
        <w:rPr>
          <w:rFonts w:ascii="Times New Roman" w:hAnsi="Times New Roman" w:cs="Times New Roman"/>
          <w:sz w:val="24"/>
          <w:szCs w:val="24"/>
        </w:rPr>
        <w:t xml:space="preserve"> objave radova te 1.000,00 EUR za troškove sudjelovanja na kongresima. Nabava opreme je planirana u iznosu od 5.000,00 EUR, dok je za servis postojeće opreme planirano 5.000 EUR.</w:t>
      </w:r>
    </w:p>
    <w:p w:rsidR="00253FF0" w:rsidRPr="00FF2EE0" w:rsidRDefault="00253FF0" w:rsidP="00253F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U 2025. planirana su sredstva u iznosu od 5.400 EUR za troškove terenskog rada</w:t>
      </w:r>
      <w:r w:rsidR="005E230C" w:rsidRPr="00FF2EE0">
        <w:rPr>
          <w:rFonts w:ascii="Times New Roman" w:hAnsi="Times New Roman" w:cs="Times New Roman"/>
          <w:sz w:val="24"/>
          <w:szCs w:val="24"/>
        </w:rPr>
        <w:t xml:space="preserve"> (putni nalozi)</w:t>
      </w:r>
      <w:r w:rsidRPr="00FF2EE0">
        <w:rPr>
          <w:rFonts w:ascii="Times New Roman" w:hAnsi="Times New Roman" w:cs="Times New Roman"/>
          <w:sz w:val="24"/>
          <w:szCs w:val="24"/>
        </w:rPr>
        <w:t xml:space="preserve">, 2.500,00 EUR za usluge biokemijskih i molekularnih analiza, 6.900,00 EUR za materijalne rashode (potrošni materijal za prikupljanje i regeneraciju biološkog i genetskog materijala, sirovine, folije, etikete, zaštitna sredstva,…), 12.000,00 EUR za usluge rada studenata, 2.000,00 EUR </w:t>
      </w:r>
      <w:r w:rsidR="004748A8" w:rsidRPr="00FF2EE0">
        <w:rPr>
          <w:rFonts w:ascii="Times New Roman" w:hAnsi="Times New Roman" w:cs="Times New Roman"/>
          <w:sz w:val="24"/>
          <w:szCs w:val="24"/>
        </w:rPr>
        <w:t>za troškove</w:t>
      </w:r>
      <w:r w:rsidRPr="00FF2EE0">
        <w:rPr>
          <w:rFonts w:ascii="Times New Roman" w:hAnsi="Times New Roman" w:cs="Times New Roman"/>
          <w:sz w:val="24"/>
          <w:szCs w:val="24"/>
        </w:rPr>
        <w:t xml:space="preserve"> objave radova, 1.000,00 EUR za troškove sudjelovanja na kongresima. Nabava opreme je planirana u iznosu od 25.000,00 EUR, dok je za servis postojeće opreme planirano 5.000 EUR.</w:t>
      </w:r>
    </w:p>
    <w:p w:rsidR="00253FF0" w:rsidRPr="00FF2EE0" w:rsidRDefault="00253FF0" w:rsidP="00253F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U 2026. planirana su sredstva u iznosu od 6.000 EUR za troškove terenskog rada</w:t>
      </w:r>
      <w:r w:rsidR="005E230C" w:rsidRPr="00FF2EE0">
        <w:rPr>
          <w:rFonts w:ascii="Times New Roman" w:hAnsi="Times New Roman" w:cs="Times New Roman"/>
          <w:sz w:val="24"/>
          <w:szCs w:val="24"/>
        </w:rPr>
        <w:t xml:space="preserve"> (putni nalozi)</w:t>
      </w:r>
      <w:r w:rsidRPr="00FF2EE0">
        <w:rPr>
          <w:rFonts w:ascii="Times New Roman" w:hAnsi="Times New Roman" w:cs="Times New Roman"/>
          <w:sz w:val="24"/>
          <w:szCs w:val="24"/>
        </w:rPr>
        <w:t xml:space="preserve">, 5.000,00 EUR za usluge biokemijskih i molekularnih analiza, 7.000,00 EUR za materijalne rashode (potrošni materijal za prikupljanje i regeneraciju biološkog i genetskog materijala, sirovine, folije, etikete, zaštitna sredstva,…), 12.000,00 EUR za usluge rada studenata, 2.000,00 EUR </w:t>
      </w:r>
      <w:r w:rsidR="004748A8" w:rsidRPr="00FF2EE0">
        <w:rPr>
          <w:rFonts w:ascii="Times New Roman" w:hAnsi="Times New Roman" w:cs="Times New Roman"/>
          <w:sz w:val="24"/>
          <w:szCs w:val="24"/>
        </w:rPr>
        <w:t xml:space="preserve">za </w:t>
      </w:r>
      <w:r w:rsidRPr="00FF2EE0">
        <w:rPr>
          <w:rFonts w:ascii="Times New Roman" w:hAnsi="Times New Roman" w:cs="Times New Roman"/>
          <w:sz w:val="24"/>
          <w:szCs w:val="24"/>
        </w:rPr>
        <w:t>troškov</w:t>
      </w:r>
      <w:r w:rsidR="004748A8" w:rsidRPr="00FF2EE0">
        <w:rPr>
          <w:rFonts w:ascii="Times New Roman" w:hAnsi="Times New Roman" w:cs="Times New Roman"/>
          <w:sz w:val="24"/>
          <w:szCs w:val="24"/>
        </w:rPr>
        <w:t>e</w:t>
      </w:r>
      <w:r w:rsidRPr="00FF2EE0">
        <w:rPr>
          <w:rFonts w:ascii="Times New Roman" w:hAnsi="Times New Roman" w:cs="Times New Roman"/>
          <w:sz w:val="24"/>
          <w:szCs w:val="24"/>
        </w:rPr>
        <w:t xml:space="preserve"> objave radova, 1.000,00 EUR za troškove sudjelovanja na kongresima te 2.500,00 EUR za troškove ostalih usluga. Nabava opreme je planirana u iznosu od 35.000,00 EUR, dok je za servis postojeće opreme planirano 5.000 EUR.</w:t>
      </w:r>
    </w:p>
    <w:p w:rsidR="00253FF0" w:rsidRPr="00FF2EE0" w:rsidRDefault="00253FF0" w:rsidP="00253F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962"/>
        <w:gridCol w:w="1119"/>
        <w:gridCol w:w="1119"/>
        <w:gridCol w:w="1119"/>
        <w:gridCol w:w="1119"/>
      </w:tblGrid>
      <w:tr w:rsidR="00253FF0" w:rsidRPr="00FF2EE0" w:rsidTr="00DB4B19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Pokazatelj rezultata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Jedinica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Polazna vrijednost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Izvor podataka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Ciljana vrijednost za 2024.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Ciljana vrijednost za 2025.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Ciljana vrijednost za 2026.</w:t>
            </w:r>
          </w:p>
        </w:tc>
      </w:tr>
      <w:tr w:rsidR="00253FF0" w:rsidRPr="00FF2EE0" w:rsidTr="00DB4B19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Broj prikupljenih primki biljnih vrsta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Izvorne i tradicijske poljoprivredne biljke kojima prijeti nestanak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Broj primki</w:t>
            </w:r>
          </w:p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(kumulativno)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(2020.)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CPGRD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253FF0" w:rsidRPr="00FF2EE0" w:rsidTr="00DB4B19">
        <w:tc>
          <w:tcPr>
            <w:tcW w:w="1129" w:type="dxa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Broj objavljenih radova</w:t>
            </w:r>
          </w:p>
        </w:tc>
        <w:tc>
          <w:tcPr>
            <w:tcW w:w="1560" w:type="dxa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Radovi objavljeni u WOS-u na temelju rezultata projekta</w:t>
            </w:r>
          </w:p>
        </w:tc>
        <w:tc>
          <w:tcPr>
            <w:tcW w:w="1275" w:type="dxa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</w:p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(kumulativno)</w:t>
            </w:r>
          </w:p>
        </w:tc>
        <w:tc>
          <w:tcPr>
            <w:tcW w:w="962" w:type="dxa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(2020.)</w:t>
            </w:r>
          </w:p>
        </w:tc>
        <w:tc>
          <w:tcPr>
            <w:tcW w:w="1119" w:type="dxa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</w:p>
        </w:tc>
        <w:tc>
          <w:tcPr>
            <w:tcW w:w="1119" w:type="dxa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53FF0" w:rsidRPr="00FF2EE0" w:rsidTr="00DB4B19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Broj primki u On Farm proizvodnji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53FF0" w:rsidRPr="00FF2EE0" w:rsidRDefault="00253FF0" w:rsidP="002311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Poljoprivredne vrste koje su umn</w:t>
            </w:r>
            <w:r w:rsidR="002311AC" w:rsidRPr="00FF2EE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žene i vr</w:t>
            </w:r>
            <w:r w:rsidR="002311AC" w:rsidRPr="00FF2EE0">
              <w:rPr>
                <w:rFonts w:ascii="Times New Roman" w:hAnsi="Times New Roman" w:cs="Times New Roman"/>
                <w:sz w:val="20"/>
                <w:szCs w:val="20"/>
              </w:rPr>
              <w:t>ać</w:t>
            </w: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ene u on farm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</w:p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(kumulativno)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 xml:space="preserve"> (2023)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 xml:space="preserve">Otpremnica kordinatora za </w:t>
            </w:r>
          </w:p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On farm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253FF0" w:rsidRPr="00FF2EE0" w:rsidRDefault="00253FF0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253FF0" w:rsidRDefault="00253FF0" w:rsidP="00253FF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057" w:rsidRDefault="00727057" w:rsidP="00253FF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872" w:rsidRPr="00FF2EE0" w:rsidRDefault="006A7A33" w:rsidP="00553FC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E0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EC2872" w:rsidRPr="00FF2EE0">
        <w:rPr>
          <w:rFonts w:ascii="Times New Roman" w:hAnsi="Times New Roman" w:cs="Times New Roman"/>
          <w:b/>
          <w:sz w:val="24"/>
          <w:szCs w:val="24"/>
        </w:rPr>
        <w:t>. Podmjera17.1</w:t>
      </w:r>
      <w:r w:rsidR="004748A8" w:rsidRPr="00FF2E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2872" w:rsidRPr="00FF2EE0">
        <w:rPr>
          <w:rFonts w:ascii="Times New Roman" w:hAnsi="Times New Roman" w:cs="Times New Roman"/>
          <w:b/>
          <w:sz w:val="24"/>
          <w:szCs w:val="24"/>
        </w:rPr>
        <w:t>Osiguranje usjeva, životinja i biljaka</w:t>
      </w:r>
      <w:r w:rsidR="00A60B01" w:rsidRPr="00FF2EE0">
        <w:rPr>
          <w:rFonts w:ascii="Times New Roman" w:hAnsi="Times New Roman" w:cs="Times New Roman"/>
          <w:b/>
          <w:sz w:val="24"/>
          <w:szCs w:val="24"/>
        </w:rPr>
        <w:t>;</w:t>
      </w:r>
      <w:r w:rsidR="00330A40" w:rsidRPr="00FF2EE0">
        <w:rPr>
          <w:rFonts w:ascii="Times New Roman" w:hAnsi="Times New Roman" w:cs="Times New Roman"/>
          <w:b/>
          <w:sz w:val="24"/>
          <w:szCs w:val="24"/>
        </w:rPr>
        <w:t xml:space="preserve"> izvor 52</w:t>
      </w:r>
    </w:p>
    <w:p w:rsidR="00FF08A6" w:rsidRPr="00FF2EE0" w:rsidRDefault="00467F05" w:rsidP="00FF08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Zakonske i druge pravne osnove:</w:t>
      </w:r>
    </w:p>
    <w:p w:rsidR="00467F05" w:rsidRPr="00FF2EE0" w:rsidRDefault="003859C8" w:rsidP="00FF08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- </w:t>
      </w:r>
      <w:r w:rsidR="00467F05" w:rsidRPr="00FF2EE0">
        <w:rPr>
          <w:rFonts w:ascii="Times New Roman" w:hAnsi="Times New Roman" w:cs="Times New Roman"/>
          <w:sz w:val="24"/>
          <w:szCs w:val="24"/>
        </w:rPr>
        <w:t>Pravilnik o provedbi mjera Programa ruralnog razvoja Republike Hrvatske za razdoblje 2014. – 2020. (NN br.: 91/2019, 37/2020, 31/2021, 134/2021 i 10/2023)</w:t>
      </w:r>
      <w:r w:rsidR="00FF08A6" w:rsidRPr="00FF2EE0">
        <w:rPr>
          <w:rFonts w:ascii="Times New Roman" w:hAnsi="Times New Roman" w:cs="Times New Roman"/>
          <w:sz w:val="24"/>
          <w:szCs w:val="24"/>
        </w:rPr>
        <w:t>;</w:t>
      </w:r>
    </w:p>
    <w:p w:rsidR="003859C8" w:rsidRPr="00FF2EE0" w:rsidRDefault="003859C8" w:rsidP="0047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- Pravilnik o provedbi mjere 17 Upravljanje rizicima, Podmjere 17.1 Osiguranje usjeva, životinja i biljaka iz Programa ruralnog razvoj Republike Hrvatske za razdoblje 2014. – 2020.</w:t>
      </w:r>
    </w:p>
    <w:p w:rsidR="004748A8" w:rsidRPr="00FF2EE0" w:rsidRDefault="004748A8" w:rsidP="0047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4748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Agencija za plaćanja u poljoprivredi, ribarstvu i ruralnom razvoju (APPRRR) svake godine  objavljuje natječaj za provedbu Mjere 17 Upravljanje rizicima,  Podmjere 17.1 Osiguranje usjeva, životinja i biljaka iz Programa ruralnog razvoja Republike Hrvatske za razdoblje 2014. – 2020. </w:t>
      </w: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Svrha Natječaja je dodjela potpore za financiranje prihvatljivih troškova premije osiguranja za police osiguranja.</w:t>
      </w: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Cilj je potaknuti poljoprivrednike na ugovaranje osiguranja njihove proizvodnje kako bi se umanjili ekonomski gubici prouzročeni nepovoljnim klimatskim prilikama i životinjskim bolestima.</w:t>
      </w: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1247"/>
        <w:gridCol w:w="1249"/>
        <w:gridCol w:w="1249"/>
        <w:gridCol w:w="1253"/>
        <w:gridCol w:w="1254"/>
      </w:tblGrid>
      <w:tr w:rsidR="00D53624" w:rsidRPr="00FF2EE0" w:rsidTr="00330A40">
        <w:tc>
          <w:tcPr>
            <w:tcW w:w="1799" w:type="dxa"/>
            <w:shd w:val="clear" w:color="auto" w:fill="D9D9D9" w:themeFill="background1" w:themeFillShade="D9"/>
          </w:tcPr>
          <w:p w:rsidR="00D53624" w:rsidRPr="00FF2EE0" w:rsidRDefault="00D53624" w:rsidP="005F716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624" w:rsidRPr="00FF2EE0" w:rsidRDefault="00D53624" w:rsidP="005F716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D53624" w:rsidRPr="00FF2EE0" w:rsidRDefault="00D53624" w:rsidP="00D536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Izvršenje 2022.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D53624" w:rsidRPr="00FF2EE0" w:rsidRDefault="00D53624" w:rsidP="00D536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2023.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D53624" w:rsidRPr="00FF2EE0" w:rsidRDefault="00D53624" w:rsidP="00D536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2024.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D53624" w:rsidRPr="00FF2EE0" w:rsidRDefault="00D53624" w:rsidP="00D536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2025.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D53624" w:rsidRPr="00FF2EE0" w:rsidRDefault="00D53624" w:rsidP="00D536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2026.</w:t>
            </w:r>
          </w:p>
        </w:tc>
      </w:tr>
      <w:tr w:rsidR="00D53624" w:rsidRPr="00FF2EE0" w:rsidTr="00330A40">
        <w:tc>
          <w:tcPr>
            <w:tcW w:w="1799" w:type="dxa"/>
          </w:tcPr>
          <w:p w:rsidR="00D53624" w:rsidRPr="00FF2EE0" w:rsidRDefault="00642A3B" w:rsidP="00642A3B">
            <w:pPr>
              <w:spacing w:after="0"/>
              <w:ind w:firstLineChars="100"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A444444</w:t>
            </w:r>
            <w:r w:rsidR="00D53624" w:rsidRPr="00FF2EE0">
              <w:rPr>
                <w:rFonts w:ascii="Times New Roman" w:hAnsi="Times New Roman" w:cs="Times New Roman"/>
                <w:sz w:val="20"/>
                <w:szCs w:val="20"/>
              </w:rPr>
              <w:t xml:space="preserve"> Osiguranje usjeva, životinja i biljaka</w:t>
            </w:r>
          </w:p>
          <w:p w:rsidR="00642A3B" w:rsidRDefault="002311AC" w:rsidP="00642A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Podmjera</w:t>
            </w:r>
            <w:r w:rsidR="00642A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  <w:p w:rsidR="00D53624" w:rsidRPr="00FF2EE0" w:rsidRDefault="00642A3B" w:rsidP="00642A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F2EE0">
              <w:rPr>
                <w:rFonts w:ascii="Times New Roman" w:hAnsi="Times New Roman" w:cs="Times New Roman"/>
                <w:b/>
                <w:sz w:val="20"/>
                <w:szCs w:val="20"/>
              </w:rPr>
              <w:t>A622125.138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D53624" w:rsidRPr="00FF2EE0" w:rsidRDefault="006D387C" w:rsidP="00330A4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16.815,13</w:t>
            </w:r>
          </w:p>
        </w:tc>
        <w:tc>
          <w:tcPr>
            <w:tcW w:w="1249" w:type="dxa"/>
          </w:tcPr>
          <w:p w:rsidR="00D53624" w:rsidRPr="00FF2EE0" w:rsidRDefault="004748A8" w:rsidP="00A0259E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13.745</w:t>
            </w:r>
          </w:p>
        </w:tc>
        <w:tc>
          <w:tcPr>
            <w:tcW w:w="1249" w:type="dxa"/>
          </w:tcPr>
          <w:p w:rsidR="00D53624" w:rsidRPr="00FF2EE0" w:rsidRDefault="00D53624" w:rsidP="00EE277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277A" w:rsidRPr="00FF2E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253" w:type="dxa"/>
          </w:tcPr>
          <w:p w:rsidR="00D53624" w:rsidRPr="00FF2EE0" w:rsidRDefault="00D53624" w:rsidP="00EE277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277A" w:rsidRPr="00FF2EE0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54" w:type="dxa"/>
          </w:tcPr>
          <w:p w:rsidR="00D53624" w:rsidRPr="00FF2EE0" w:rsidRDefault="00D53624" w:rsidP="00EE277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277A" w:rsidRPr="00FF2E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</w:tbl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A6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Projekt se financira iz sredstava Europskog poljoprivrednog fonda za ruralni razvoj (85%) i Republike Hrvatske (15%).</w:t>
      </w: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Ova aktivnost se provodi svake godine.</w:t>
      </w:r>
    </w:p>
    <w:p w:rsidR="00FF08A6" w:rsidRPr="00FF2EE0" w:rsidRDefault="00FF08A6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6A7A33" w:rsidP="00553FC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E0">
        <w:rPr>
          <w:rFonts w:ascii="Times New Roman" w:hAnsi="Times New Roman" w:cs="Times New Roman"/>
          <w:b/>
          <w:sz w:val="24"/>
          <w:szCs w:val="24"/>
        </w:rPr>
        <w:t>3</w:t>
      </w:r>
      <w:r w:rsidR="00EC2872" w:rsidRPr="00FF2EE0">
        <w:rPr>
          <w:rFonts w:ascii="Times New Roman" w:hAnsi="Times New Roman" w:cs="Times New Roman"/>
          <w:b/>
          <w:sz w:val="24"/>
          <w:szCs w:val="24"/>
        </w:rPr>
        <w:t>. Potpora u poljoprivredi - izravna plaćanja (osnovno plaćanje, zeleno plaćanj</w:t>
      </w:r>
      <w:r w:rsidR="00A60B01" w:rsidRPr="00FF2EE0">
        <w:rPr>
          <w:rFonts w:ascii="Times New Roman" w:hAnsi="Times New Roman" w:cs="Times New Roman"/>
          <w:b/>
          <w:sz w:val="24"/>
          <w:szCs w:val="24"/>
        </w:rPr>
        <w:t>e i preraspodijeljeno plaćanje);</w:t>
      </w:r>
      <w:r w:rsidR="00330A40" w:rsidRPr="00FF2EE0">
        <w:rPr>
          <w:rFonts w:ascii="Times New Roman" w:hAnsi="Times New Roman" w:cs="Times New Roman"/>
          <w:b/>
          <w:sz w:val="24"/>
          <w:szCs w:val="24"/>
        </w:rPr>
        <w:t xml:space="preserve"> izvor 52</w:t>
      </w:r>
    </w:p>
    <w:p w:rsidR="00EC2872" w:rsidRPr="00FF2EE0" w:rsidRDefault="00423F69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Zakonsk</w:t>
      </w:r>
      <w:r w:rsidR="00544765" w:rsidRPr="00FF2EE0">
        <w:rPr>
          <w:rFonts w:ascii="Times New Roman" w:hAnsi="Times New Roman" w:cs="Times New Roman"/>
          <w:sz w:val="24"/>
          <w:szCs w:val="24"/>
        </w:rPr>
        <w:t xml:space="preserve">e </w:t>
      </w:r>
      <w:r w:rsidRPr="00FF2EE0">
        <w:rPr>
          <w:rFonts w:ascii="Times New Roman" w:hAnsi="Times New Roman" w:cs="Times New Roman"/>
          <w:sz w:val="24"/>
          <w:szCs w:val="24"/>
        </w:rPr>
        <w:t>i</w:t>
      </w:r>
      <w:r w:rsidR="00544765" w:rsidRPr="00FF2EE0">
        <w:rPr>
          <w:rFonts w:ascii="Times New Roman" w:hAnsi="Times New Roman" w:cs="Times New Roman"/>
          <w:sz w:val="24"/>
          <w:szCs w:val="24"/>
        </w:rPr>
        <w:t xml:space="preserve"> druge</w:t>
      </w:r>
      <w:r w:rsidRPr="00FF2EE0">
        <w:rPr>
          <w:rFonts w:ascii="Times New Roman" w:hAnsi="Times New Roman" w:cs="Times New Roman"/>
          <w:sz w:val="24"/>
          <w:szCs w:val="24"/>
        </w:rPr>
        <w:t xml:space="preserve"> pravn</w:t>
      </w:r>
      <w:r w:rsidR="00544765" w:rsidRPr="00FF2EE0">
        <w:rPr>
          <w:rFonts w:ascii="Times New Roman" w:hAnsi="Times New Roman" w:cs="Times New Roman"/>
          <w:sz w:val="24"/>
          <w:szCs w:val="24"/>
        </w:rPr>
        <w:t>e</w:t>
      </w:r>
      <w:r w:rsidRPr="00FF2EE0">
        <w:rPr>
          <w:rFonts w:ascii="Times New Roman" w:hAnsi="Times New Roman" w:cs="Times New Roman"/>
          <w:sz w:val="24"/>
          <w:szCs w:val="24"/>
        </w:rPr>
        <w:t xml:space="preserve"> osnov</w:t>
      </w:r>
      <w:r w:rsidR="00544765" w:rsidRPr="00FF2EE0">
        <w:rPr>
          <w:rFonts w:ascii="Times New Roman" w:hAnsi="Times New Roman" w:cs="Times New Roman"/>
          <w:sz w:val="24"/>
          <w:szCs w:val="24"/>
        </w:rPr>
        <w:t>e</w:t>
      </w:r>
      <w:r w:rsidR="00FF08A6" w:rsidRPr="00FF2EE0">
        <w:rPr>
          <w:rFonts w:ascii="Times New Roman" w:hAnsi="Times New Roman" w:cs="Times New Roman"/>
          <w:sz w:val="24"/>
          <w:szCs w:val="24"/>
        </w:rPr>
        <w:t>:</w:t>
      </w:r>
    </w:p>
    <w:p w:rsidR="00E146CE" w:rsidRPr="00FF2EE0" w:rsidRDefault="003859C8" w:rsidP="00EF0666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F2E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E146CE" w:rsidRPr="00FF2E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Zakon o poljoprivredi (Narodne novine br. 118/18, 42/20, 127/20 – Odluka Ustavnog suda RH, 52/21. i 152/22)</w:t>
      </w:r>
      <w:r w:rsidR="00FF08A6" w:rsidRPr="00FF2E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E7259" w:rsidRPr="00FF2EE0" w:rsidRDefault="003859C8" w:rsidP="00AE725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F2E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E146CE" w:rsidRPr="00FF2E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Pravilnik o provedbi izravne potpore poljoprivredi i IAKS mjera ruralnog razvoja za 2022. godinu (Narodne novine br. 27/2022, 53/2022. i 152/2022)</w:t>
      </w:r>
      <w:r w:rsidR="00FF08A6" w:rsidRPr="00FF2E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F0666" w:rsidRPr="00FF2EE0" w:rsidRDefault="003859C8" w:rsidP="00AE7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36"/>
          <w:sz w:val="24"/>
          <w:szCs w:val="24"/>
          <w:lang w:eastAsia="hr-HR"/>
        </w:rPr>
      </w:pPr>
      <w:r w:rsidRPr="00FF2EE0">
        <w:rPr>
          <w:rFonts w:ascii="Times New Roman" w:eastAsia="Times New Roman" w:hAnsi="Times New Roman" w:cs="Times New Roman"/>
          <w:color w:val="2B2A29"/>
          <w:kern w:val="36"/>
          <w:sz w:val="24"/>
          <w:szCs w:val="24"/>
          <w:lang w:eastAsia="hr-HR"/>
        </w:rPr>
        <w:t xml:space="preserve">- </w:t>
      </w:r>
      <w:r w:rsidR="00EF0666" w:rsidRPr="00FF2EE0">
        <w:rPr>
          <w:rFonts w:ascii="Times New Roman" w:eastAsia="Times New Roman" w:hAnsi="Times New Roman" w:cs="Times New Roman"/>
          <w:color w:val="2B2A29"/>
          <w:kern w:val="36"/>
          <w:sz w:val="24"/>
          <w:szCs w:val="24"/>
          <w:lang w:eastAsia="hr-HR"/>
        </w:rPr>
        <w:t>Pravilnik o provedbi izravne potpore poljoprivredi i IAKS mjera ruralnog razvoja za 2023. godinu (NN 25/2023)</w:t>
      </w:r>
      <w:r w:rsidR="00FF08A6" w:rsidRPr="00FF2EE0">
        <w:rPr>
          <w:rFonts w:ascii="Times New Roman" w:eastAsia="Times New Roman" w:hAnsi="Times New Roman" w:cs="Times New Roman"/>
          <w:color w:val="2B2A29"/>
          <w:kern w:val="36"/>
          <w:sz w:val="24"/>
          <w:szCs w:val="24"/>
          <w:lang w:eastAsia="hr-HR"/>
        </w:rPr>
        <w:t>.</w:t>
      </w:r>
    </w:p>
    <w:p w:rsidR="00EF0666" w:rsidRPr="00FF2EE0" w:rsidRDefault="00EF0666" w:rsidP="00EF066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lastRenderedPageBreak/>
        <w:t>Svrha izravnih potpora je osigurati dugotrajnu održivost aktivnih poljoprivrednika koji obavljaju poljoprivrednu djelatnost. Dodjeljuju se za proizvodnju, uzgoj ili sadnju poljoprivrednih proizvoda, za uzgoj ili držanje stoke, kao i za održavanje poljoprivredne površine u stanju pogodnom za pašu ili uzgoj.</w:t>
      </w: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U izravne potpore ubrajamo izravna plaćanja koja se sastoje se od potpore po površini i proizvodno vezanih potpora u stočarstvu i ratarstvu. Da bi ostvarili izravnu potporu poljoprivrednici koji obavljaju poljoprivrednu djelatnost trebaju biti upisani u Upisnik poljoprivrednih gospodarstava. Poljoprivredno zemljište koje je predmet izravne potpore mora biti upisano u ARKOD sustav, a sva stoka evidentirana u Jedinstvenom registru domaćih životinja (JRDŽ).</w:t>
      </w: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Svake godine na temelju površina koje obrađuje Institut ostvaruje ovu potporu podnošenjem Jedinstvenog zahtjeva za izravna plaćanja APPRRR-u koj</w:t>
      </w:r>
      <w:r w:rsidR="00ED664F" w:rsidRPr="00FF2EE0">
        <w:rPr>
          <w:rFonts w:ascii="Times New Roman" w:hAnsi="Times New Roman" w:cs="Times New Roman"/>
          <w:sz w:val="24"/>
          <w:szCs w:val="24"/>
        </w:rPr>
        <w:t>i</w:t>
      </w:r>
      <w:r w:rsidRPr="00FF2EE0">
        <w:rPr>
          <w:rFonts w:ascii="Times New Roman" w:hAnsi="Times New Roman" w:cs="Times New Roman"/>
          <w:sz w:val="24"/>
          <w:szCs w:val="24"/>
        </w:rPr>
        <w:t xml:space="preserve"> uključuje osnovno plaćanje, zeleno plaćanje i preraspodijeljeno plaćanje</w:t>
      </w:r>
      <w:r w:rsidR="005A1815" w:rsidRPr="00FF2EE0">
        <w:rPr>
          <w:rFonts w:ascii="Times New Roman" w:hAnsi="Times New Roman" w:cs="Times New Roman"/>
          <w:sz w:val="24"/>
          <w:szCs w:val="24"/>
        </w:rPr>
        <w:t>. O</w:t>
      </w:r>
      <w:r w:rsidR="00A60609" w:rsidRPr="00FF2EE0">
        <w:rPr>
          <w:rFonts w:ascii="Times New Roman" w:hAnsi="Times New Roman" w:cs="Times New Roman"/>
          <w:sz w:val="24"/>
          <w:szCs w:val="24"/>
        </w:rPr>
        <w:t>d 2023. godine cjelokupna potpora</w:t>
      </w:r>
      <w:r w:rsidR="005A1815" w:rsidRPr="00FF2EE0">
        <w:rPr>
          <w:rFonts w:ascii="Times New Roman" w:hAnsi="Times New Roman" w:cs="Times New Roman"/>
          <w:sz w:val="24"/>
          <w:szCs w:val="24"/>
        </w:rPr>
        <w:t xml:space="preserve"> se financira </w:t>
      </w:r>
      <w:r w:rsidR="00A60609" w:rsidRPr="00FF2EE0">
        <w:rPr>
          <w:rFonts w:ascii="Times New Roman" w:hAnsi="Times New Roman" w:cs="Times New Roman"/>
          <w:sz w:val="24"/>
          <w:szCs w:val="24"/>
        </w:rPr>
        <w:t xml:space="preserve"> </w:t>
      </w:r>
      <w:r w:rsidR="00AE56D7" w:rsidRPr="00FF2EE0">
        <w:rPr>
          <w:rFonts w:ascii="Times New Roman" w:hAnsi="Times New Roman" w:cs="Times New Roman"/>
          <w:sz w:val="24"/>
          <w:szCs w:val="24"/>
        </w:rPr>
        <w:t>EU sredstvima iz Europskog fonda za jamstva u poljoprivredi.</w:t>
      </w:r>
    </w:p>
    <w:p w:rsidR="00ED664F" w:rsidRPr="00FF2EE0" w:rsidRDefault="00ED664F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1267"/>
        <w:gridCol w:w="1371"/>
        <w:gridCol w:w="1371"/>
        <w:gridCol w:w="1371"/>
        <w:gridCol w:w="1371"/>
      </w:tblGrid>
      <w:tr w:rsidR="00602A3E" w:rsidRPr="00FF2EE0" w:rsidTr="000416FC">
        <w:tc>
          <w:tcPr>
            <w:tcW w:w="1504" w:type="dxa"/>
            <w:shd w:val="clear" w:color="auto" w:fill="D9D9D9" w:themeFill="background1" w:themeFillShade="D9"/>
          </w:tcPr>
          <w:p w:rsidR="00602A3E" w:rsidRPr="00FF2EE0" w:rsidRDefault="00602A3E" w:rsidP="005F716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A3E" w:rsidRPr="00FF2EE0" w:rsidRDefault="00602A3E" w:rsidP="005F716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602A3E" w:rsidRPr="00FF2EE0" w:rsidRDefault="00602A3E" w:rsidP="00602A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Izvršenje 2022.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602A3E" w:rsidRPr="00FF2EE0" w:rsidRDefault="00602A3E" w:rsidP="00602A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2023.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602A3E" w:rsidRPr="00FF2EE0" w:rsidRDefault="00602A3E" w:rsidP="00602A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2024.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602A3E" w:rsidRPr="00FF2EE0" w:rsidRDefault="00602A3E" w:rsidP="00602A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2025.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602A3E" w:rsidRPr="00FF2EE0" w:rsidRDefault="00602A3E" w:rsidP="00602A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2026.</w:t>
            </w:r>
          </w:p>
        </w:tc>
      </w:tr>
      <w:tr w:rsidR="00602A3E" w:rsidRPr="00FF2EE0" w:rsidTr="000416FC">
        <w:tc>
          <w:tcPr>
            <w:tcW w:w="1504" w:type="dxa"/>
          </w:tcPr>
          <w:p w:rsidR="00602A3E" w:rsidRPr="00FF2EE0" w:rsidRDefault="00851D98" w:rsidP="00DD64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A444444</w:t>
            </w:r>
            <w:r w:rsidR="00602A3E" w:rsidRPr="00FF2EE0">
              <w:rPr>
                <w:rFonts w:ascii="Times New Roman" w:hAnsi="Times New Roman" w:cs="Times New Roman"/>
                <w:sz w:val="20"/>
                <w:szCs w:val="20"/>
              </w:rPr>
              <w:t xml:space="preserve"> Potpora u poljoprivredi</w:t>
            </w:r>
            <w:r w:rsidRPr="00FF2E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F2EE0">
              <w:rPr>
                <w:rFonts w:ascii="Times New Roman" w:hAnsi="Times New Roman" w:cs="Times New Roman"/>
                <w:b/>
                <w:sz w:val="20"/>
                <w:szCs w:val="20"/>
              </w:rPr>
              <w:t>A622125.139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2A3E" w:rsidRPr="00FF2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</w:tcPr>
          <w:p w:rsidR="00602A3E" w:rsidRPr="00FF2EE0" w:rsidRDefault="008807F0" w:rsidP="00330A4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187.399,95</w:t>
            </w:r>
          </w:p>
        </w:tc>
        <w:tc>
          <w:tcPr>
            <w:tcW w:w="1371" w:type="dxa"/>
          </w:tcPr>
          <w:p w:rsidR="00602A3E" w:rsidRPr="00FF2EE0" w:rsidRDefault="008807F0" w:rsidP="00330A4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188.000</w:t>
            </w:r>
          </w:p>
        </w:tc>
        <w:tc>
          <w:tcPr>
            <w:tcW w:w="1371" w:type="dxa"/>
          </w:tcPr>
          <w:p w:rsidR="00602A3E" w:rsidRPr="00FF2EE0" w:rsidRDefault="008807F0" w:rsidP="00330A4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190.000</w:t>
            </w:r>
          </w:p>
        </w:tc>
        <w:tc>
          <w:tcPr>
            <w:tcW w:w="1371" w:type="dxa"/>
          </w:tcPr>
          <w:p w:rsidR="00602A3E" w:rsidRPr="00FF2EE0" w:rsidRDefault="008807F0" w:rsidP="00330A4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192.000</w:t>
            </w:r>
          </w:p>
        </w:tc>
        <w:tc>
          <w:tcPr>
            <w:tcW w:w="1371" w:type="dxa"/>
          </w:tcPr>
          <w:p w:rsidR="00602A3E" w:rsidRPr="00FF2EE0" w:rsidRDefault="008807F0" w:rsidP="00330A4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194.000</w:t>
            </w:r>
          </w:p>
        </w:tc>
      </w:tr>
    </w:tbl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FF2EE0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Ova aktivnost se provodi svake godine.</w:t>
      </w:r>
    </w:p>
    <w:p w:rsidR="004403BD" w:rsidRPr="00FF2EE0" w:rsidRDefault="004403BD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CD5" w:rsidRPr="00FF2EE0" w:rsidRDefault="00D55CD5" w:rsidP="00D55CD5">
      <w:pPr>
        <w:rPr>
          <w:rFonts w:ascii="Times New Roman" w:hAnsi="Times New Roman" w:cs="Times New Roman"/>
          <w:b/>
          <w:sz w:val="24"/>
          <w:szCs w:val="24"/>
        </w:rPr>
      </w:pPr>
      <w:r w:rsidRPr="00FF2EE0">
        <w:rPr>
          <w:rFonts w:ascii="Times New Roman" w:hAnsi="Times New Roman" w:cs="Times New Roman"/>
          <w:b/>
          <w:sz w:val="24"/>
          <w:szCs w:val="24"/>
        </w:rPr>
        <w:t>4. Carbon Farming CE – Development of carbon farming in Central Europe</w:t>
      </w:r>
      <w:r w:rsidR="00B8722C" w:rsidRPr="00FF2EE0">
        <w:rPr>
          <w:rFonts w:ascii="Times New Roman" w:hAnsi="Times New Roman" w:cs="Times New Roman"/>
          <w:b/>
          <w:sz w:val="24"/>
          <w:szCs w:val="24"/>
        </w:rPr>
        <w:t>; izvor 51</w:t>
      </w:r>
    </w:p>
    <w:p w:rsidR="00D55CD5" w:rsidRPr="00FF2EE0" w:rsidRDefault="00D55CD5" w:rsidP="00D55C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Zakonske i druge pravne osnove</w:t>
      </w:r>
      <w:r w:rsidR="00544765" w:rsidRPr="00FF2EE0">
        <w:rPr>
          <w:rFonts w:ascii="Times New Roman" w:hAnsi="Times New Roman" w:cs="Times New Roman"/>
          <w:sz w:val="24"/>
          <w:szCs w:val="24"/>
        </w:rPr>
        <w:t>:</w:t>
      </w:r>
    </w:p>
    <w:p w:rsidR="00D55CD5" w:rsidRPr="00FF2EE0" w:rsidRDefault="00D55CD5" w:rsidP="00D55CD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F2EE0">
        <w:rPr>
          <w:rFonts w:ascii="Times New Roman" w:hAnsi="Times New Roman" w:cs="Times New Roman"/>
          <w:sz w:val="24"/>
          <w:szCs w:val="24"/>
        </w:rPr>
        <w:t>- Z</w:t>
      </w:r>
      <w:r w:rsidRPr="00FF2E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akon o provedbi Uredbe (EU) 2019/2088 o objavama povezanim s održivosti u sektoru financijskih usluga i Uredbe (EU) 2020/852 o uspostavi okvira za olakšavanje održivih ulaganja i izmjeni Uredbe (EU) 2019/2088</w:t>
      </w:r>
      <w:r w:rsidR="00FF08A6" w:rsidRPr="00FF2E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;</w:t>
      </w:r>
    </w:p>
    <w:p w:rsidR="00D55CD5" w:rsidRPr="00FF2EE0" w:rsidRDefault="00D55CD5" w:rsidP="00D55C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- Tehničke smjernice za pripremu infrastrukture za klimatske promjene u razdoblju 2021.–2027.</w:t>
      </w:r>
      <w:r w:rsidR="00FF08A6" w:rsidRPr="00FF2EE0">
        <w:rPr>
          <w:rFonts w:ascii="Times New Roman" w:hAnsi="Times New Roman" w:cs="Times New Roman"/>
          <w:sz w:val="24"/>
          <w:szCs w:val="24"/>
        </w:rPr>
        <w:t>;</w:t>
      </w:r>
    </w:p>
    <w:p w:rsidR="00D55CD5" w:rsidRPr="00FF2EE0" w:rsidRDefault="00D55CD5" w:rsidP="00D55C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-  Strategija niskougljičnog razvoja Republike Hrvatske do 2030. s pogledom na 2050. godinu</w:t>
      </w:r>
      <w:r w:rsidR="00FF08A6" w:rsidRPr="00FF2EE0">
        <w:rPr>
          <w:rFonts w:ascii="Times New Roman" w:hAnsi="Times New Roman" w:cs="Times New Roman"/>
          <w:sz w:val="24"/>
          <w:szCs w:val="24"/>
        </w:rPr>
        <w:t>;</w:t>
      </w:r>
    </w:p>
    <w:p w:rsidR="00D55CD5" w:rsidRPr="00FF2EE0" w:rsidRDefault="00D55CD5" w:rsidP="00D55C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- Strategija prilagodbe klimatskim promjenama u RH za razdoblje do 2040. godine s pogledom na 2070. godinu</w:t>
      </w:r>
      <w:r w:rsidR="00FF08A6" w:rsidRPr="00FF2EE0">
        <w:rPr>
          <w:rFonts w:ascii="Times New Roman" w:hAnsi="Times New Roman" w:cs="Times New Roman"/>
          <w:sz w:val="24"/>
          <w:szCs w:val="24"/>
        </w:rPr>
        <w:t>;</w:t>
      </w:r>
    </w:p>
    <w:p w:rsidR="00D55CD5" w:rsidRPr="00FF2EE0" w:rsidRDefault="00D55CD5" w:rsidP="00D55C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- Integrirani nacionalni energetski i klimatski plan za Republiku Hrvatsku za razdoblje od 2021. do 2030. godine</w:t>
      </w:r>
      <w:r w:rsidR="00FF08A6" w:rsidRPr="00FF2EE0">
        <w:rPr>
          <w:rFonts w:ascii="Times New Roman" w:hAnsi="Times New Roman" w:cs="Times New Roman"/>
          <w:sz w:val="24"/>
          <w:szCs w:val="24"/>
        </w:rPr>
        <w:t>;</w:t>
      </w:r>
    </w:p>
    <w:p w:rsidR="00D55CD5" w:rsidRPr="00FF2EE0" w:rsidRDefault="00D55CD5" w:rsidP="00D55C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-  Zakon o ekološkoj proizvodnji poljoprivrednih i prehrambenih proizvoda</w:t>
      </w:r>
      <w:r w:rsidR="00FF08A6" w:rsidRPr="00FF2EE0">
        <w:rPr>
          <w:rFonts w:ascii="Times New Roman" w:hAnsi="Times New Roman" w:cs="Times New Roman"/>
          <w:sz w:val="24"/>
          <w:szCs w:val="24"/>
        </w:rPr>
        <w:t>;</w:t>
      </w:r>
      <w:r w:rsidRPr="00FF2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CD5" w:rsidRPr="00FF2EE0" w:rsidRDefault="00D55CD5" w:rsidP="00D55C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-  Pravilnik o ekološkoj proizvodnji u uzgoju bilja i u proizvodnji biljnih proizvoda</w:t>
      </w:r>
      <w:r w:rsidR="00FF08A6" w:rsidRPr="00FF2EE0">
        <w:rPr>
          <w:rFonts w:ascii="Times New Roman" w:hAnsi="Times New Roman" w:cs="Times New Roman"/>
          <w:sz w:val="24"/>
          <w:szCs w:val="24"/>
        </w:rPr>
        <w:t>;</w:t>
      </w:r>
    </w:p>
    <w:p w:rsidR="00D55CD5" w:rsidRPr="00FF2EE0" w:rsidRDefault="00D55CD5" w:rsidP="00D55C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lastRenderedPageBreak/>
        <w:t>-  Zakon o zaštiti okoliša</w:t>
      </w:r>
      <w:r w:rsidR="00FF08A6" w:rsidRPr="00FF2EE0">
        <w:rPr>
          <w:rFonts w:ascii="Times New Roman" w:hAnsi="Times New Roman" w:cs="Times New Roman"/>
          <w:sz w:val="24"/>
          <w:szCs w:val="24"/>
        </w:rPr>
        <w:t>;</w:t>
      </w:r>
    </w:p>
    <w:p w:rsidR="00D55CD5" w:rsidRPr="00FF2EE0" w:rsidRDefault="00D55CD5" w:rsidP="00C1511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-  Strateški plan Zajedničke poljoprivredne politike Republike Hrvatske 2023. - 2027.</w:t>
      </w:r>
    </w:p>
    <w:p w:rsidR="00D55CD5" w:rsidRPr="00FF2EE0" w:rsidRDefault="00D55CD5" w:rsidP="00D55C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CD5" w:rsidRPr="00FF2EE0" w:rsidRDefault="00D55CD5" w:rsidP="00D55C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Projekt će se financirati  iz programa EUROPSKE TERITORIJALNE SURADNJE kroz Interreg Central Europe Co-founded by European Union. </w:t>
      </w:r>
      <w:r w:rsidRPr="00FF2EE0">
        <w:rPr>
          <w:rFonts w:ascii="Times New Roman" w:eastAsia="Times New Roman" w:hAnsi="Times New Roman" w:cs="Times New Roman"/>
          <w:sz w:val="24"/>
          <w:szCs w:val="24"/>
          <w:lang w:eastAsia="hr-HR"/>
        </w:rPr>
        <w:t>80% se financira iz Europskog fonda za regionalni razvoj, a 20% sredstava je sufinanciranje Poljoprivrednog Instituta Osijek.</w:t>
      </w:r>
      <w:r w:rsidR="00C1511D" w:rsidRPr="00FF2E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F2EE0">
        <w:rPr>
          <w:rFonts w:ascii="Times New Roman" w:hAnsi="Times New Roman" w:cs="Times New Roman"/>
          <w:sz w:val="24"/>
          <w:szCs w:val="24"/>
        </w:rPr>
        <w:t>U sklopu je Interreg programa kojim se podržava transnacionalna suradnja za povećanje energetske učinkovitosti, smanjenje potrošnje energije i razvoj okvirnih uvjeta za održivu proizvodnju i korištenje obnovljivih energija. Tematska područja projekta: Pametna integracija ugljično neutralnih rješenja u svim sektorima te smanjenje emisija stakleničkih plinova iz industrije i drugih sektora.</w:t>
      </w:r>
    </w:p>
    <w:p w:rsidR="00D55CD5" w:rsidRPr="00FF2EE0" w:rsidRDefault="00D55CD5" w:rsidP="00D55CD5">
      <w:pPr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Cilj projekta je razvoj tehnika i poslovnih modela za sekvestraciju ugljika. Kroz dva radna paketa će se u tri godine testirati i razviti tehnike te poslovni modeli koje će farmeri preuzeti u svoju praksu kroz radionice i edukaciju u sklopu projekta dok će kroz treći radni paket biti razvijeni monitoring i popularizacija sekvestracije ugljika. </w:t>
      </w:r>
    </w:p>
    <w:p w:rsidR="00D55CD5" w:rsidRPr="00FF2EE0" w:rsidRDefault="00D55CD5" w:rsidP="00D55CD5">
      <w:pPr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Projekt je započeo u travnju 2023. godine i trajat će do ožujka 2026. godine.</w:t>
      </w:r>
    </w:p>
    <w:p w:rsidR="00D55CD5" w:rsidRDefault="00D55CD5" w:rsidP="00D55CD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EE0">
        <w:rPr>
          <w:rFonts w:ascii="Times New Roman" w:hAnsi="Times New Roman" w:cs="Times New Roman"/>
          <w:bCs/>
          <w:sz w:val="24"/>
          <w:szCs w:val="24"/>
        </w:rPr>
        <w:t>Vodeći partner je Kmetijski instutut Slovenije</w:t>
      </w:r>
      <w:r w:rsidR="00C1511D" w:rsidRPr="00FF2EE0">
        <w:rPr>
          <w:rFonts w:ascii="Times New Roman" w:hAnsi="Times New Roman" w:cs="Times New Roman"/>
          <w:bCs/>
          <w:sz w:val="24"/>
          <w:szCs w:val="24"/>
        </w:rPr>
        <w:t>.</w:t>
      </w:r>
    </w:p>
    <w:p w:rsidR="00943413" w:rsidRPr="00FF2EE0" w:rsidRDefault="00943413" w:rsidP="00D55CD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5CD5" w:rsidRPr="00FF2EE0" w:rsidRDefault="00D55CD5" w:rsidP="00D55CD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266"/>
        <w:gridCol w:w="1243"/>
        <w:gridCol w:w="1243"/>
        <w:gridCol w:w="1242"/>
        <w:gridCol w:w="1250"/>
      </w:tblGrid>
      <w:tr w:rsidR="00D55CD5" w:rsidRPr="00FF2EE0" w:rsidTr="00467F05">
        <w:trPr>
          <w:trHeight w:val="693"/>
        </w:trPr>
        <w:tc>
          <w:tcPr>
            <w:tcW w:w="1804" w:type="dxa"/>
            <w:shd w:val="clear" w:color="auto" w:fill="D9D9D9" w:themeFill="background1" w:themeFillShade="D9"/>
          </w:tcPr>
          <w:p w:rsidR="00D55CD5" w:rsidRPr="00FF2EE0" w:rsidRDefault="00D55CD5" w:rsidP="00467F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D5" w:rsidRPr="00FF2EE0" w:rsidRDefault="00D55CD5" w:rsidP="00467F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Izvršenje 2022.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2023.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2024.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2025.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Plan 2026.</w:t>
            </w:r>
          </w:p>
        </w:tc>
      </w:tr>
      <w:tr w:rsidR="00D55CD5" w:rsidRPr="00FF2EE0" w:rsidTr="00467F05">
        <w:tc>
          <w:tcPr>
            <w:tcW w:w="1804" w:type="dxa"/>
            <w:vAlign w:val="center"/>
          </w:tcPr>
          <w:p w:rsidR="00851D98" w:rsidRPr="00851D98" w:rsidRDefault="00851D98" w:rsidP="00851D98">
            <w:pPr>
              <w:spacing w:after="0"/>
              <w:ind w:firstLineChars="100" w:firstLin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D98">
              <w:rPr>
                <w:rFonts w:ascii="Times New Roman" w:hAnsi="Times New Roman" w:cs="Times New Roman"/>
                <w:b/>
                <w:sz w:val="20"/>
                <w:szCs w:val="20"/>
              </w:rPr>
              <w:t>A444444</w:t>
            </w:r>
          </w:p>
          <w:p w:rsidR="00D55CD5" w:rsidRPr="00FF2EE0" w:rsidRDefault="00D55CD5" w:rsidP="00851D98">
            <w:pPr>
              <w:spacing w:after="0"/>
              <w:ind w:firstLineChars="100"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NOVI</w:t>
            </w:r>
            <w:r w:rsidRPr="00FF2E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PODPROJEKT Carbon Farming CE</w:t>
            </w:r>
          </w:p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6" w:type="dxa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3" w:type="dxa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31.000,00</w:t>
            </w:r>
          </w:p>
        </w:tc>
        <w:tc>
          <w:tcPr>
            <w:tcW w:w="1243" w:type="dxa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65.275,00</w:t>
            </w:r>
          </w:p>
        </w:tc>
        <w:tc>
          <w:tcPr>
            <w:tcW w:w="1242" w:type="dxa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85.285,00</w:t>
            </w:r>
          </w:p>
        </w:tc>
        <w:tc>
          <w:tcPr>
            <w:tcW w:w="1250" w:type="dxa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28.060,00</w:t>
            </w:r>
          </w:p>
        </w:tc>
      </w:tr>
    </w:tbl>
    <w:p w:rsidR="00D55CD5" w:rsidRPr="00FF2EE0" w:rsidRDefault="00D55CD5" w:rsidP="00D55CD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5CD5" w:rsidRPr="00FF2EE0" w:rsidRDefault="00D55CD5" w:rsidP="00D55C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Izračun financijskog plana:</w:t>
      </w:r>
    </w:p>
    <w:p w:rsidR="00D55CD5" w:rsidRPr="00FF2EE0" w:rsidRDefault="00D55CD5" w:rsidP="00D55C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U 2024. godini planirana su sredstva u iznosu od 49.000,00 EUR za plaće i materijalna prava djelatnika na projektu; 6.025,00 EUR za troškove službenih putovanja i kotizacije te 10.250,00 EUR za organizaciju radionica, školi i vanjske podrške za testiranje tehnika za sekvestraciju ugljika.</w:t>
      </w:r>
    </w:p>
    <w:p w:rsidR="00B422BE" w:rsidRDefault="00D55CD5" w:rsidP="00D55C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U 2025. godini planirana su sredstva u iznosu od 56.000,00 EUR za plaće i materijalna prava djelatnika na projektu; 6.785,00 EUR za troškove službenih putovanja i kotizacije te 22.500,00 EUR za organizaciju radionica, školi i vanjsku podršku za testiranje tehnika za sekvestraciju ugljika.</w:t>
      </w:r>
    </w:p>
    <w:p w:rsidR="00D55CD5" w:rsidRDefault="00D55CD5" w:rsidP="00D55C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>U 2026. godini planirana su sredstva u iznosu od 21.000,00 EUR za plaće i materijalna prava djelatnika na projektu; 2.310,00 EUR za troškove službenih putovanja te 4.750,00 EUR za organizaciju radionica, školi i vanjsku podršku za testiranje tehnika za sekvestraciju ugljika.</w:t>
      </w:r>
    </w:p>
    <w:tbl>
      <w:tblPr>
        <w:tblStyle w:val="TableGrid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002"/>
        <w:gridCol w:w="992"/>
        <w:gridCol w:w="1362"/>
        <w:gridCol w:w="1119"/>
        <w:gridCol w:w="1119"/>
        <w:gridCol w:w="1119"/>
      </w:tblGrid>
      <w:tr w:rsidR="00D55CD5" w:rsidRPr="00FF2EE0" w:rsidTr="00467F05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Pokazatelj rezultata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Jedinica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Polazna vrijednost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Izvor podataka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Ciljana vrijednost za 2024.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Ciljana vrijednost za 2025.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Ciljana vrijednost za 2026.</w:t>
            </w:r>
          </w:p>
        </w:tc>
      </w:tr>
      <w:tr w:rsidR="00D55CD5" w:rsidRPr="00FF2EE0" w:rsidTr="00467F05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CD5" w:rsidRPr="00FF2EE0" w:rsidRDefault="00D55CD5" w:rsidP="00C1511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Testirane tehnik</w:t>
            </w:r>
            <w:r w:rsidR="00C1511D" w:rsidRPr="00FF2EE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 xml:space="preserve"> sekvestracije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Testiranje tehnika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Tehnike</w:t>
            </w:r>
          </w:p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(kumulativno)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55CD5" w:rsidRPr="00FF2EE0" w:rsidTr="00467F05">
        <w:tc>
          <w:tcPr>
            <w:tcW w:w="1129" w:type="dxa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Vidljivost tehnika i modela</w:t>
            </w:r>
          </w:p>
        </w:tc>
        <w:tc>
          <w:tcPr>
            <w:tcW w:w="1560" w:type="dxa"/>
            <w:vAlign w:val="center"/>
          </w:tcPr>
          <w:p w:rsidR="00D55CD5" w:rsidRPr="00FF2EE0" w:rsidRDefault="00D55CD5" w:rsidP="00C1511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Izdanje vodi</w:t>
            </w:r>
            <w:r w:rsidR="00C1511D" w:rsidRPr="00FF2EE0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02" w:type="dxa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</w:p>
        </w:tc>
        <w:tc>
          <w:tcPr>
            <w:tcW w:w="992" w:type="dxa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362" w:type="dxa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Vodi</w:t>
            </w:r>
            <w:r w:rsidR="00C1511D" w:rsidRPr="00FF2EE0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(kumulativnoa)</w:t>
            </w:r>
          </w:p>
        </w:tc>
        <w:tc>
          <w:tcPr>
            <w:tcW w:w="1119" w:type="dxa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5CD5" w:rsidRPr="00FF2EE0" w:rsidTr="00467F05">
        <w:trPr>
          <w:trHeight w:val="935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Prijenos znanja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Organizacija seminara i radionica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D55CD5" w:rsidRPr="00FF2EE0" w:rsidRDefault="00C23FE7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D55CD5" w:rsidRPr="00FF2EE0">
              <w:rPr>
                <w:rFonts w:ascii="Times New Roman" w:hAnsi="Times New Roman" w:cs="Times New Roman"/>
                <w:sz w:val="20"/>
                <w:szCs w:val="20"/>
              </w:rPr>
              <w:t>adionice</w:t>
            </w:r>
          </w:p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(kumulativnoa)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D55CD5" w:rsidRPr="00FF2EE0" w:rsidRDefault="00D55CD5" w:rsidP="00467F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D55CD5" w:rsidRPr="00FF2EE0" w:rsidRDefault="00D55CD5" w:rsidP="00D55C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CD5" w:rsidRPr="00FF2EE0" w:rsidRDefault="00D55CD5" w:rsidP="00D55C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B8F" w:rsidRPr="00FF2EE0" w:rsidRDefault="008D23EE" w:rsidP="00DA2B8F">
      <w:pPr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A2B8F" w:rsidRPr="00FF2EE0">
        <w:rPr>
          <w:rFonts w:ascii="Times New Roman" w:hAnsi="Times New Roman" w:cs="Times New Roman"/>
          <w:b/>
          <w:sz w:val="24"/>
          <w:szCs w:val="24"/>
        </w:rPr>
        <w:t>A</w:t>
      </w:r>
      <w:r w:rsidR="00DA2B8F">
        <w:rPr>
          <w:rFonts w:ascii="Times New Roman" w:hAnsi="Times New Roman" w:cs="Times New Roman"/>
          <w:b/>
          <w:sz w:val="24"/>
          <w:szCs w:val="24"/>
        </w:rPr>
        <w:t xml:space="preserve">333333 PROGRAMSKO FINANCIRANJE </w:t>
      </w:r>
      <w:r w:rsidR="00DA2B8F" w:rsidRPr="00FF2EE0">
        <w:rPr>
          <w:rFonts w:ascii="Times New Roman" w:hAnsi="Times New Roman" w:cs="Times New Roman"/>
          <w:b/>
          <w:sz w:val="24"/>
          <w:szCs w:val="24"/>
        </w:rPr>
        <w:t>JAVNIH INSTITUTA</w:t>
      </w:r>
      <w:r w:rsidR="00DA2B8F">
        <w:rPr>
          <w:rFonts w:ascii="Times New Roman" w:hAnsi="Times New Roman" w:cs="Times New Roman"/>
          <w:b/>
          <w:sz w:val="24"/>
          <w:szCs w:val="24"/>
        </w:rPr>
        <w:t xml:space="preserve"> IZ STRUKTURNIH I INVESTICIJSKIH FONDOVA EU</w:t>
      </w:r>
      <w:r>
        <w:rPr>
          <w:rFonts w:ascii="Times New Roman" w:hAnsi="Times New Roman" w:cs="Times New Roman"/>
          <w:b/>
          <w:sz w:val="24"/>
          <w:szCs w:val="24"/>
        </w:rPr>
        <w:t>; izvor 581</w:t>
      </w:r>
    </w:p>
    <w:p w:rsidR="00DA2B8F" w:rsidRPr="00FF2EE0" w:rsidRDefault="00DA2B8F" w:rsidP="00DA2B8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B8F" w:rsidRPr="00FF2EE0" w:rsidRDefault="00DA2B8F" w:rsidP="00DA2B8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E0">
        <w:rPr>
          <w:rFonts w:ascii="Times New Roman" w:hAnsi="Times New Roman" w:cs="Times New Roman"/>
          <w:b/>
          <w:sz w:val="24"/>
          <w:szCs w:val="24"/>
        </w:rPr>
        <w:t>Izračun financijskog plana 202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FF2EE0">
        <w:rPr>
          <w:rFonts w:ascii="Times New Roman" w:hAnsi="Times New Roman" w:cs="Times New Roman"/>
          <w:b/>
          <w:sz w:val="24"/>
          <w:szCs w:val="24"/>
        </w:rPr>
        <w:t>:</w:t>
      </w:r>
    </w:p>
    <w:p w:rsidR="00DA2B8F" w:rsidRPr="00FF2EE0" w:rsidRDefault="00DA2B8F" w:rsidP="00DA2B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U sklopu </w:t>
      </w:r>
      <w:r>
        <w:rPr>
          <w:rFonts w:ascii="Times New Roman" w:hAnsi="Times New Roman" w:cs="Times New Roman"/>
          <w:sz w:val="24"/>
          <w:szCs w:val="24"/>
        </w:rPr>
        <w:t xml:space="preserve">ove </w:t>
      </w:r>
      <w:r w:rsidRPr="00FF2EE0">
        <w:rPr>
          <w:rFonts w:ascii="Times New Roman" w:hAnsi="Times New Roman" w:cs="Times New Roman"/>
          <w:sz w:val="24"/>
          <w:szCs w:val="24"/>
        </w:rPr>
        <w:t>djelatnosti Institut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F2EE0">
        <w:rPr>
          <w:rFonts w:ascii="Times New Roman" w:hAnsi="Times New Roman" w:cs="Times New Roman"/>
          <w:sz w:val="24"/>
          <w:szCs w:val="24"/>
        </w:rPr>
        <w:t xml:space="preserve">planirano je rashoda u iznosu od </w:t>
      </w:r>
      <w:r>
        <w:rPr>
          <w:rFonts w:ascii="Times New Roman" w:hAnsi="Times New Roman" w:cs="Times New Roman"/>
          <w:sz w:val="24"/>
          <w:szCs w:val="24"/>
        </w:rPr>
        <w:t>88.034</w:t>
      </w:r>
      <w:r w:rsidRPr="00FF2EE0">
        <w:rPr>
          <w:rFonts w:ascii="Times New Roman" w:hAnsi="Times New Roman" w:cs="Times New Roman"/>
          <w:sz w:val="24"/>
          <w:szCs w:val="24"/>
        </w:rPr>
        <w:t xml:space="preserve"> EUR. </w:t>
      </w:r>
      <w:r>
        <w:rPr>
          <w:rFonts w:ascii="Times New Roman" w:hAnsi="Times New Roman" w:cs="Times New Roman"/>
          <w:sz w:val="24"/>
          <w:szCs w:val="24"/>
        </w:rPr>
        <w:t>Izvor financiranja je 581- Mehanizam za otpornost i oporavak.</w:t>
      </w:r>
    </w:p>
    <w:p w:rsidR="00DA2B8F" w:rsidRDefault="00DA2B8F" w:rsidP="00DA2B8F">
      <w:pPr>
        <w:spacing w:after="0"/>
      </w:pPr>
      <w:r>
        <w:t>Materijalni rashodi: 53.084 EUR</w:t>
      </w:r>
    </w:p>
    <w:p w:rsidR="00DA2B8F" w:rsidRDefault="00DA2B8F" w:rsidP="00DA2B8F">
      <w:pPr>
        <w:spacing w:after="0"/>
      </w:pPr>
      <w:r>
        <w:t>Rashodi za nabavu nefinancijske imovine: 34.950 EUR</w:t>
      </w:r>
    </w:p>
    <w:p w:rsidR="00B422BE" w:rsidRDefault="000B3E50" w:rsidP="00DA2B8F">
      <w:pPr>
        <w:spacing w:after="0"/>
      </w:pPr>
      <w:r>
        <w:t>Ukupno: 83.084 EUR</w:t>
      </w:r>
    </w:p>
    <w:p w:rsidR="000B3E50" w:rsidRPr="00FF2EE0" w:rsidRDefault="000B3E50" w:rsidP="000B3E5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E50" w:rsidRPr="00FF2EE0" w:rsidRDefault="000B3E50" w:rsidP="000B3E5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E0">
        <w:rPr>
          <w:rFonts w:ascii="Times New Roman" w:hAnsi="Times New Roman" w:cs="Times New Roman"/>
          <w:b/>
          <w:sz w:val="24"/>
          <w:szCs w:val="24"/>
        </w:rPr>
        <w:t>Izračun financijskog plana 202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F2EE0">
        <w:rPr>
          <w:rFonts w:ascii="Times New Roman" w:hAnsi="Times New Roman" w:cs="Times New Roman"/>
          <w:b/>
          <w:sz w:val="24"/>
          <w:szCs w:val="24"/>
        </w:rPr>
        <w:t>:</w:t>
      </w:r>
    </w:p>
    <w:p w:rsidR="000B3E50" w:rsidRPr="00FF2EE0" w:rsidRDefault="000B3E50" w:rsidP="000B3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U sklopu </w:t>
      </w:r>
      <w:r>
        <w:rPr>
          <w:rFonts w:ascii="Times New Roman" w:hAnsi="Times New Roman" w:cs="Times New Roman"/>
          <w:sz w:val="24"/>
          <w:szCs w:val="24"/>
        </w:rPr>
        <w:t xml:space="preserve">ove </w:t>
      </w:r>
      <w:r w:rsidRPr="00FF2EE0">
        <w:rPr>
          <w:rFonts w:ascii="Times New Roman" w:hAnsi="Times New Roman" w:cs="Times New Roman"/>
          <w:sz w:val="24"/>
          <w:szCs w:val="24"/>
        </w:rPr>
        <w:t>djelatnosti Institut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F2EE0">
        <w:rPr>
          <w:rFonts w:ascii="Times New Roman" w:hAnsi="Times New Roman" w:cs="Times New Roman"/>
          <w:sz w:val="24"/>
          <w:szCs w:val="24"/>
        </w:rPr>
        <w:t xml:space="preserve">planirano je rashoda u iznosu od </w:t>
      </w:r>
      <w:r>
        <w:rPr>
          <w:rFonts w:ascii="Times New Roman" w:hAnsi="Times New Roman" w:cs="Times New Roman"/>
          <w:sz w:val="24"/>
          <w:szCs w:val="24"/>
        </w:rPr>
        <w:t>88.034</w:t>
      </w:r>
      <w:r w:rsidRPr="00FF2EE0">
        <w:rPr>
          <w:rFonts w:ascii="Times New Roman" w:hAnsi="Times New Roman" w:cs="Times New Roman"/>
          <w:sz w:val="24"/>
          <w:szCs w:val="24"/>
        </w:rPr>
        <w:t xml:space="preserve"> EUR. </w:t>
      </w:r>
      <w:r>
        <w:rPr>
          <w:rFonts w:ascii="Times New Roman" w:hAnsi="Times New Roman" w:cs="Times New Roman"/>
          <w:sz w:val="24"/>
          <w:szCs w:val="24"/>
        </w:rPr>
        <w:t>Izvor financiranja je 581- Mehanizam za otpornost i oporavak.</w:t>
      </w:r>
    </w:p>
    <w:p w:rsidR="000B3E50" w:rsidRDefault="000B3E50" w:rsidP="000B3E50">
      <w:pPr>
        <w:spacing w:after="0"/>
      </w:pPr>
      <w:r>
        <w:t>Materijalni rashodi: 72.318 EUR</w:t>
      </w:r>
    </w:p>
    <w:p w:rsidR="000B3E50" w:rsidRDefault="000B3E50" w:rsidP="000B3E50">
      <w:pPr>
        <w:spacing w:after="0"/>
      </w:pPr>
      <w:r>
        <w:t>Rashodi za nabavu nefinancijske imovine: 15.716 EUR</w:t>
      </w:r>
    </w:p>
    <w:p w:rsidR="00B422BE" w:rsidRDefault="000B3E50" w:rsidP="000B3E50">
      <w:pPr>
        <w:spacing w:after="0"/>
      </w:pPr>
      <w:r>
        <w:t>Ukupno: 83.084 EUR</w:t>
      </w:r>
    </w:p>
    <w:p w:rsidR="000B3E50" w:rsidRPr="00FF2EE0" w:rsidRDefault="000B3E50" w:rsidP="000B3E5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2BE" w:rsidRDefault="000B3E50" w:rsidP="00B422B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E0">
        <w:rPr>
          <w:rFonts w:ascii="Times New Roman" w:hAnsi="Times New Roman" w:cs="Times New Roman"/>
          <w:b/>
          <w:sz w:val="24"/>
          <w:szCs w:val="24"/>
        </w:rPr>
        <w:t>Izračun financijskog plana 202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FF2EE0">
        <w:rPr>
          <w:rFonts w:ascii="Times New Roman" w:hAnsi="Times New Roman" w:cs="Times New Roman"/>
          <w:b/>
          <w:sz w:val="24"/>
          <w:szCs w:val="24"/>
        </w:rPr>
        <w:t>:</w:t>
      </w:r>
    </w:p>
    <w:p w:rsidR="000B3E50" w:rsidRPr="00FF2EE0" w:rsidRDefault="000B3E50" w:rsidP="00B422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t xml:space="preserve">U sklopu </w:t>
      </w:r>
      <w:r>
        <w:rPr>
          <w:rFonts w:ascii="Times New Roman" w:hAnsi="Times New Roman" w:cs="Times New Roman"/>
          <w:sz w:val="24"/>
          <w:szCs w:val="24"/>
        </w:rPr>
        <w:t xml:space="preserve">ove </w:t>
      </w:r>
      <w:r w:rsidRPr="00FF2EE0">
        <w:rPr>
          <w:rFonts w:ascii="Times New Roman" w:hAnsi="Times New Roman" w:cs="Times New Roman"/>
          <w:sz w:val="24"/>
          <w:szCs w:val="24"/>
        </w:rPr>
        <w:t>djelatnosti Institut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F2EE0">
        <w:rPr>
          <w:rFonts w:ascii="Times New Roman" w:hAnsi="Times New Roman" w:cs="Times New Roman"/>
          <w:sz w:val="24"/>
          <w:szCs w:val="24"/>
        </w:rPr>
        <w:t xml:space="preserve">planirano je rashoda u iznosu od </w:t>
      </w:r>
      <w:r>
        <w:rPr>
          <w:rFonts w:ascii="Times New Roman" w:hAnsi="Times New Roman" w:cs="Times New Roman"/>
          <w:sz w:val="24"/>
          <w:szCs w:val="24"/>
        </w:rPr>
        <w:t>88.034</w:t>
      </w:r>
      <w:r w:rsidRPr="00FF2EE0">
        <w:rPr>
          <w:rFonts w:ascii="Times New Roman" w:hAnsi="Times New Roman" w:cs="Times New Roman"/>
          <w:sz w:val="24"/>
          <w:szCs w:val="24"/>
        </w:rPr>
        <w:t xml:space="preserve"> EUR. </w:t>
      </w:r>
      <w:r>
        <w:rPr>
          <w:rFonts w:ascii="Times New Roman" w:hAnsi="Times New Roman" w:cs="Times New Roman"/>
          <w:sz w:val="24"/>
          <w:szCs w:val="24"/>
        </w:rPr>
        <w:t>Izvor financiranja je 581- Mehanizam za otpornost i oporavak.</w:t>
      </w:r>
    </w:p>
    <w:p w:rsidR="000B3E50" w:rsidRDefault="000B3E50" w:rsidP="000B3E50">
      <w:pPr>
        <w:spacing w:after="0"/>
      </w:pPr>
      <w:r>
        <w:t>Materijalni rashodi: 97.005 EUR</w:t>
      </w:r>
    </w:p>
    <w:p w:rsidR="000B3E50" w:rsidRDefault="000B3E50" w:rsidP="000B3E50">
      <w:pPr>
        <w:spacing w:after="0"/>
      </w:pPr>
      <w:r>
        <w:t>Rashodi za nabavu nefinancijske imovine: 1.029 EUR</w:t>
      </w:r>
    </w:p>
    <w:p w:rsidR="00D55CD5" w:rsidRDefault="000B3E50" w:rsidP="00B422BE">
      <w:pPr>
        <w:spacing w:after="0"/>
      </w:pPr>
      <w:r>
        <w:t>Ukupno: 83.084 EUR</w:t>
      </w:r>
    </w:p>
    <w:p w:rsidR="0091745B" w:rsidRDefault="0091745B" w:rsidP="00B422BE">
      <w:pPr>
        <w:spacing w:after="0"/>
      </w:pPr>
    </w:p>
    <w:p w:rsidR="0091745B" w:rsidRDefault="0091745B" w:rsidP="00B422BE">
      <w:pPr>
        <w:spacing w:after="0"/>
      </w:pPr>
    </w:p>
    <w:p w:rsidR="00411509" w:rsidRPr="00FF2EE0" w:rsidRDefault="00411509" w:rsidP="00411509">
      <w:pPr>
        <w:jc w:val="both"/>
        <w:rPr>
          <w:rFonts w:ascii="Times New Roman" w:hAnsi="Times New Roman" w:cs="Times New Roman"/>
          <w:sz w:val="24"/>
          <w:szCs w:val="24"/>
        </w:rPr>
      </w:pPr>
      <w:r w:rsidRPr="00FF2EE0">
        <w:rPr>
          <w:rFonts w:ascii="Times New Roman" w:hAnsi="Times New Roman" w:cs="Times New Roman"/>
          <w:sz w:val="24"/>
          <w:szCs w:val="24"/>
        </w:rPr>
        <w:lastRenderedPageBreak/>
        <w:t>Nastavno su za Institut prikazani pokazatelji rezultata za javne institute sukladno Uputi Ministarstva znanosti i obrazovanja za izradu prijedloga financijskog plana razdjela 080 za razdoblje 2022. – 2024. godine.</w:t>
      </w:r>
    </w:p>
    <w:p w:rsidR="00411509" w:rsidRPr="00FF2EE0" w:rsidRDefault="00411509" w:rsidP="004115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418"/>
        <w:gridCol w:w="918"/>
        <w:gridCol w:w="924"/>
        <w:gridCol w:w="1078"/>
        <w:gridCol w:w="909"/>
        <w:gridCol w:w="910"/>
        <w:gridCol w:w="910"/>
        <w:gridCol w:w="910"/>
      </w:tblGrid>
      <w:tr w:rsidR="00411509" w:rsidRPr="00FF2EE0" w:rsidTr="00DB4B19">
        <w:tc>
          <w:tcPr>
            <w:tcW w:w="1281" w:type="dxa"/>
            <w:shd w:val="clear" w:color="auto" w:fill="D8D8D8"/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Pokazatelj rezultata</w:t>
            </w:r>
          </w:p>
        </w:tc>
        <w:tc>
          <w:tcPr>
            <w:tcW w:w="1418" w:type="dxa"/>
            <w:shd w:val="clear" w:color="auto" w:fill="D8D8D8"/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918" w:type="dxa"/>
            <w:shd w:val="clear" w:color="auto" w:fill="D8D8D8"/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Jedinica</w:t>
            </w:r>
          </w:p>
        </w:tc>
        <w:tc>
          <w:tcPr>
            <w:tcW w:w="924" w:type="dxa"/>
            <w:shd w:val="clear" w:color="auto" w:fill="D8D8D8"/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Polazna vrijednost</w:t>
            </w:r>
          </w:p>
        </w:tc>
        <w:tc>
          <w:tcPr>
            <w:tcW w:w="1078" w:type="dxa"/>
            <w:shd w:val="clear" w:color="auto" w:fill="D8D8D8"/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Izvor podataka</w:t>
            </w:r>
          </w:p>
        </w:tc>
        <w:tc>
          <w:tcPr>
            <w:tcW w:w="909" w:type="dxa"/>
            <w:shd w:val="clear" w:color="auto" w:fill="D8D8D8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Ciljana vrijednost za 2023.</w:t>
            </w:r>
          </w:p>
        </w:tc>
        <w:tc>
          <w:tcPr>
            <w:tcW w:w="910" w:type="dxa"/>
            <w:shd w:val="clear" w:color="auto" w:fill="D8D8D8"/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Ciljana vrijednost za 2024.</w:t>
            </w:r>
          </w:p>
        </w:tc>
        <w:tc>
          <w:tcPr>
            <w:tcW w:w="910" w:type="dxa"/>
            <w:shd w:val="clear" w:color="auto" w:fill="D8D8D8"/>
          </w:tcPr>
          <w:p w:rsidR="00411509" w:rsidRPr="00FF2EE0" w:rsidRDefault="00411509" w:rsidP="00DB4B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 xml:space="preserve">Ciljana vrijednost </w:t>
            </w:r>
          </w:p>
          <w:p w:rsidR="00411509" w:rsidRPr="00FF2EE0" w:rsidRDefault="00411509" w:rsidP="00DB4B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za 2025.</w:t>
            </w:r>
          </w:p>
        </w:tc>
        <w:tc>
          <w:tcPr>
            <w:tcW w:w="910" w:type="dxa"/>
            <w:shd w:val="clear" w:color="auto" w:fill="D8D8D8"/>
          </w:tcPr>
          <w:p w:rsidR="00411509" w:rsidRPr="00FF2EE0" w:rsidRDefault="00411509" w:rsidP="00DB4B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 xml:space="preserve">Ciljana vrijednost </w:t>
            </w:r>
          </w:p>
          <w:p w:rsidR="00411509" w:rsidRPr="00FF2EE0" w:rsidRDefault="00411509" w:rsidP="00DB4B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za 2026.</w:t>
            </w:r>
          </w:p>
        </w:tc>
      </w:tr>
      <w:tr w:rsidR="00411509" w:rsidRPr="00FF2EE0" w:rsidTr="00DB4B19">
        <w:trPr>
          <w:trHeight w:val="1431"/>
        </w:trPr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Broj objavljenih znanstvenih radova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STEM znanstveni radovi uvedeni u bazu WOS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</w:p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(2022.)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Baza</w:t>
            </w:r>
          </w:p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Web of Science</w:t>
            </w:r>
          </w:p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(WoS)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411509" w:rsidRPr="00FF2EE0" w:rsidRDefault="00411509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411509" w:rsidRPr="00FF2EE0" w:rsidRDefault="00036A55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411509" w:rsidRPr="00FF2EE0" w:rsidRDefault="00036A55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411509" w:rsidRPr="00FF2EE0" w:rsidRDefault="00411509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11509" w:rsidRPr="00FF2EE0" w:rsidTr="00DB4B19"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Broj objavljenih znanstvenih radova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DH znanstveni radovi uvedeni u bazu SCOPUS i WOS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</w:p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(2022.)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Baza</w:t>
            </w:r>
          </w:p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(SCOPUS,</w:t>
            </w:r>
          </w:p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WoS)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411509" w:rsidRPr="00FF2EE0" w:rsidRDefault="00411509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411509" w:rsidRPr="00FF2EE0" w:rsidRDefault="00411509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411509" w:rsidRPr="00FF2EE0" w:rsidRDefault="00411509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411509" w:rsidRPr="00FF2EE0" w:rsidRDefault="00411509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1509" w:rsidRPr="00FF2EE0" w:rsidTr="00DB4B19"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Broj autorskih ili uredničkih znanstvenih knjiga u međunarodnim bazama podataka s dvjema istorazinskim recenzijama koje se kategoriziraju kao znanstveni rad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Autorske ili uredničke znanstvene knjige u međunarodnim bazama podataka s dvjema istorazinskim recenzijama koje se kategoriziraju kao znanstveni rad</w:t>
            </w:r>
          </w:p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(2022.)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Baza</w:t>
            </w:r>
          </w:p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(SCOPUS,</w:t>
            </w:r>
          </w:p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WoS)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411509" w:rsidRPr="00FF2EE0" w:rsidRDefault="00411509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411509" w:rsidRPr="00FF2EE0" w:rsidRDefault="00411509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09" w:rsidRPr="00FF2EE0" w:rsidRDefault="00411509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1509" w:rsidRPr="00FF2EE0" w:rsidRDefault="00411509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411509" w:rsidRPr="00FF2EE0" w:rsidRDefault="00411509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411509" w:rsidRPr="00FF2EE0" w:rsidRDefault="00411509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09" w:rsidRPr="00FF2EE0" w:rsidRDefault="00411509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1509" w:rsidRPr="00FF2EE0" w:rsidRDefault="00411509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509" w:rsidRPr="00FF2EE0" w:rsidTr="00DB4B19">
        <w:tc>
          <w:tcPr>
            <w:tcW w:w="1281" w:type="dxa"/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Vrijednost ugovorenih nacionalnih kompetitivnih znanstvenih projekata</w:t>
            </w:r>
          </w:p>
        </w:tc>
        <w:tc>
          <w:tcPr>
            <w:tcW w:w="1418" w:type="dxa"/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Ugovoreni nacionalni kompetitivni znanstveni projekti</w:t>
            </w:r>
          </w:p>
        </w:tc>
        <w:tc>
          <w:tcPr>
            <w:tcW w:w="918" w:type="dxa"/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Postotak u ukupnim prihodima (godišnje)</w:t>
            </w:r>
          </w:p>
        </w:tc>
        <w:tc>
          <w:tcPr>
            <w:tcW w:w="924" w:type="dxa"/>
            <w:vAlign w:val="center"/>
          </w:tcPr>
          <w:p w:rsidR="00411509" w:rsidRPr="00FF2EE0" w:rsidRDefault="003969F7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(2021.)</w:t>
            </w:r>
          </w:p>
        </w:tc>
        <w:tc>
          <w:tcPr>
            <w:tcW w:w="1078" w:type="dxa"/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PIO</w:t>
            </w:r>
            <w:r w:rsidRPr="00FF2E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09" w:type="dxa"/>
            <w:vAlign w:val="center"/>
          </w:tcPr>
          <w:p w:rsidR="00411509" w:rsidRPr="00FF2EE0" w:rsidRDefault="003969F7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910" w:type="dxa"/>
            <w:vAlign w:val="center"/>
          </w:tcPr>
          <w:p w:rsidR="00411509" w:rsidRPr="00FF2EE0" w:rsidRDefault="00411509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910" w:type="dxa"/>
            <w:vAlign w:val="center"/>
          </w:tcPr>
          <w:p w:rsidR="00411509" w:rsidRPr="00FF2EE0" w:rsidRDefault="00411509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910" w:type="dxa"/>
            <w:vAlign w:val="center"/>
          </w:tcPr>
          <w:p w:rsidR="00411509" w:rsidRPr="00FF2EE0" w:rsidRDefault="00411509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</w:tr>
      <w:tr w:rsidR="00411509" w:rsidRPr="00FF2EE0" w:rsidTr="00DB4B19">
        <w:tc>
          <w:tcPr>
            <w:tcW w:w="1281" w:type="dxa"/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Vrijednost ugovorenih međunarodnih kompetitivnih znanstvenih projekata</w:t>
            </w:r>
          </w:p>
        </w:tc>
        <w:tc>
          <w:tcPr>
            <w:tcW w:w="1418" w:type="dxa"/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Ugovoreni međunarodni kompetitivni znanstveni projekti</w:t>
            </w:r>
          </w:p>
        </w:tc>
        <w:tc>
          <w:tcPr>
            <w:tcW w:w="918" w:type="dxa"/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Postotak u ukupnim prihodima (godišnje)</w:t>
            </w:r>
          </w:p>
        </w:tc>
        <w:tc>
          <w:tcPr>
            <w:tcW w:w="924" w:type="dxa"/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(2021.)</w:t>
            </w:r>
          </w:p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411509" w:rsidRPr="00FF2EE0" w:rsidRDefault="00411509" w:rsidP="00DB4B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PIO</w:t>
            </w:r>
          </w:p>
        </w:tc>
        <w:tc>
          <w:tcPr>
            <w:tcW w:w="909" w:type="dxa"/>
            <w:vAlign w:val="center"/>
          </w:tcPr>
          <w:p w:rsidR="00411509" w:rsidRPr="00FF2EE0" w:rsidRDefault="00411509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411509" w:rsidRPr="00FF2EE0" w:rsidRDefault="00411509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411509" w:rsidRPr="00FF2EE0" w:rsidRDefault="00411509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411509" w:rsidRPr="00FF2EE0" w:rsidRDefault="00411509" w:rsidP="00DB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11509" w:rsidRPr="00FF2EE0" w:rsidRDefault="00411509" w:rsidP="00411509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1509" w:rsidRPr="00FF2EE0" w:rsidRDefault="00411509" w:rsidP="00411509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F2EE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F2EE0">
        <w:rPr>
          <w:rFonts w:ascii="Times New Roman" w:hAnsi="Times New Roman" w:cs="Times New Roman"/>
          <w:sz w:val="20"/>
          <w:szCs w:val="20"/>
        </w:rPr>
        <w:t>PIO</w:t>
      </w:r>
      <w:r w:rsidRPr="00FF2EE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F2EE0">
        <w:rPr>
          <w:rFonts w:ascii="Times New Roman" w:hAnsi="Times New Roman" w:cs="Times New Roman"/>
          <w:sz w:val="20"/>
          <w:szCs w:val="20"/>
        </w:rPr>
        <w:t>– Poljoprivredni institut Osijek</w:t>
      </w:r>
    </w:p>
    <w:sectPr w:rsidR="00411509" w:rsidRPr="00FF2EE0" w:rsidSect="00E544C2">
      <w:footerReference w:type="default" r:id="rId7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E2B" w:rsidRDefault="00192E2B">
      <w:pPr>
        <w:spacing w:after="0" w:line="240" w:lineRule="auto"/>
      </w:pPr>
      <w:r>
        <w:separator/>
      </w:r>
    </w:p>
  </w:endnote>
  <w:endnote w:type="continuationSeparator" w:id="0">
    <w:p w:rsidR="00192E2B" w:rsidRDefault="0019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:rsidR="000F3F75" w:rsidRDefault="000F3F7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CB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F3F75" w:rsidRDefault="000F3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E2B" w:rsidRDefault="00192E2B">
      <w:pPr>
        <w:spacing w:after="0" w:line="240" w:lineRule="auto"/>
      </w:pPr>
      <w:r>
        <w:separator/>
      </w:r>
    </w:p>
  </w:footnote>
  <w:footnote w:type="continuationSeparator" w:id="0">
    <w:p w:rsidR="00192E2B" w:rsidRDefault="00192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04C2"/>
    <w:multiLevelType w:val="hybridMultilevel"/>
    <w:tmpl w:val="5FE4275C"/>
    <w:lvl w:ilvl="0" w:tplc="CA8AA484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518BE"/>
    <w:multiLevelType w:val="hybridMultilevel"/>
    <w:tmpl w:val="10C4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00D5"/>
    <w:multiLevelType w:val="hybridMultilevel"/>
    <w:tmpl w:val="89921AD6"/>
    <w:lvl w:ilvl="0" w:tplc="ED240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A1AC1"/>
    <w:multiLevelType w:val="hybridMultilevel"/>
    <w:tmpl w:val="68C4A1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801F2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654A1"/>
    <w:multiLevelType w:val="hybridMultilevel"/>
    <w:tmpl w:val="D79AE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7659B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42F6C"/>
    <w:multiLevelType w:val="hybridMultilevel"/>
    <w:tmpl w:val="F49466D6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E50E94"/>
    <w:multiLevelType w:val="hybridMultilevel"/>
    <w:tmpl w:val="3A10C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A519D"/>
    <w:multiLevelType w:val="hybridMultilevel"/>
    <w:tmpl w:val="769A9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B4FFA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038B7"/>
    <w:multiLevelType w:val="hybridMultilevel"/>
    <w:tmpl w:val="AB767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A2982"/>
    <w:multiLevelType w:val="hybridMultilevel"/>
    <w:tmpl w:val="D72EB230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33FCE"/>
    <w:multiLevelType w:val="hybridMultilevel"/>
    <w:tmpl w:val="29202FDE"/>
    <w:lvl w:ilvl="0" w:tplc="A9828B1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CE750A"/>
    <w:multiLevelType w:val="hybridMultilevel"/>
    <w:tmpl w:val="FBE66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22EC0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C1849"/>
    <w:multiLevelType w:val="hybridMultilevel"/>
    <w:tmpl w:val="A1A4B40A"/>
    <w:lvl w:ilvl="0" w:tplc="952425C0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01A5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45BFA"/>
    <w:multiLevelType w:val="hybridMultilevel"/>
    <w:tmpl w:val="A21EE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6"/>
  </w:num>
  <w:num w:numId="4">
    <w:abstractNumId w:val="2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26"/>
  </w:num>
  <w:num w:numId="13">
    <w:abstractNumId w:val="16"/>
  </w:num>
  <w:num w:numId="14">
    <w:abstractNumId w:val="11"/>
  </w:num>
  <w:num w:numId="15">
    <w:abstractNumId w:val="18"/>
  </w:num>
  <w:num w:numId="16">
    <w:abstractNumId w:val="19"/>
  </w:num>
  <w:num w:numId="17">
    <w:abstractNumId w:val="14"/>
  </w:num>
  <w:num w:numId="18">
    <w:abstractNumId w:val="13"/>
  </w:num>
  <w:num w:numId="19">
    <w:abstractNumId w:val="7"/>
  </w:num>
  <w:num w:numId="20">
    <w:abstractNumId w:val="21"/>
  </w:num>
  <w:num w:numId="21">
    <w:abstractNumId w:val="17"/>
  </w:num>
  <w:num w:numId="22">
    <w:abstractNumId w:val="10"/>
  </w:num>
  <w:num w:numId="23">
    <w:abstractNumId w:val="0"/>
  </w:num>
  <w:num w:numId="24">
    <w:abstractNumId w:val="24"/>
  </w:num>
  <w:num w:numId="25">
    <w:abstractNumId w:val="23"/>
  </w:num>
  <w:num w:numId="26">
    <w:abstractNumId w:val="12"/>
  </w:num>
  <w:num w:numId="27">
    <w:abstractNumId w:val="22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72"/>
    <w:rsid w:val="000019EB"/>
    <w:rsid w:val="00001EF6"/>
    <w:rsid w:val="00023395"/>
    <w:rsid w:val="00027849"/>
    <w:rsid w:val="00036A55"/>
    <w:rsid w:val="00037673"/>
    <w:rsid w:val="000416FC"/>
    <w:rsid w:val="00044D1C"/>
    <w:rsid w:val="00076623"/>
    <w:rsid w:val="00085586"/>
    <w:rsid w:val="00090A0F"/>
    <w:rsid w:val="00090F09"/>
    <w:rsid w:val="000A25F9"/>
    <w:rsid w:val="000A3A75"/>
    <w:rsid w:val="000A7475"/>
    <w:rsid w:val="000B3E50"/>
    <w:rsid w:val="000B5C73"/>
    <w:rsid w:val="000D6209"/>
    <w:rsid w:val="000E19FD"/>
    <w:rsid w:val="000E2481"/>
    <w:rsid w:val="000E59F2"/>
    <w:rsid w:val="000E5C33"/>
    <w:rsid w:val="000E73B2"/>
    <w:rsid w:val="000F3F75"/>
    <w:rsid w:val="000F5A98"/>
    <w:rsid w:val="00101C1C"/>
    <w:rsid w:val="00104C86"/>
    <w:rsid w:val="00107B1F"/>
    <w:rsid w:val="00122CB5"/>
    <w:rsid w:val="00125CB1"/>
    <w:rsid w:val="0013724E"/>
    <w:rsid w:val="00141F8E"/>
    <w:rsid w:val="00144DF5"/>
    <w:rsid w:val="00145321"/>
    <w:rsid w:val="00152C67"/>
    <w:rsid w:val="00152CA7"/>
    <w:rsid w:val="00155EDE"/>
    <w:rsid w:val="00156843"/>
    <w:rsid w:val="00175D95"/>
    <w:rsid w:val="00177A73"/>
    <w:rsid w:val="00180FE4"/>
    <w:rsid w:val="001824D9"/>
    <w:rsid w:val="00192E2B"/>
    <w:rsid w:val="00196B29"/>
    <w:rsid w:val="001A1FE5"/>
    <w:rsid w:val="001A5D7B"/>
    <w:rsid w:val="001B6056"/>
    <w:rsid w:val="001E2C06"/>
    <w:rsid w:val="001E51A4"/>
    <w:rsid w:val="001F2B72"/>
    <w:rsid w:val="001F3158"/>
    <w:rsid w:val="001F3E3E"/>
    <w:rsid w:val="001F7B4D"/>
    <w:rsid w:val="00201105"/>
    <w:rsid w:val="00223223"/>
    <w:rsid w:val="0022332C"/>
    <w:rsid w:val="00223D71"/>
    <w:rsid w:val="002311AC"/>
    <w:rsid w:val="002328EC"/>
    <w:rsid w:val="0023679B"/>
    <w:rsid w:val="00240CE8"/>
    <w:rsid w:val="00244633"/>
    <w:rsid w:val="00251CB7"/>
    <w:rsid w:val="00253FF0"/>
    <w:rsid w:val="002705D9"/>
    <w:rsid w:val="0029186B"/>
    <w:rsid w:val="002B13B0"/>
    <w:rsid w:val="002B47CA"/>
    <w:rsid w:val="002B4A78"/>
    <w:rsid w:val="002B6615"/>
    <w:rsid w:val="002B7147"/>
    <w:rsid w:val="002C13F9"/>
    <w:rsid w:val="002D2ADD"/>
    <w:rsid w:val="002D6669"/>
    <w:rsid w:val="002E3341"/>
    <w:rsid w:val="002E6F91"/>
    <w:rsid w:val="002E7D84"/>
    <w:rsid w:val="003008A6"/>
    <w:rsid w:val="0032787F"/>
    <w:rsid w:val="00330A40"/>
    <w:rsid w:val="003456C3"/>
    <w:rsid w:val="003478D8"/>
    <w:rsid w:val="00347D50"/>
    <w:rsid w:val="00364CE1"/>
    <w:rsid w:val="00372E56"/>
    <w:rsid w:val="00373E36"/>
    <w:rsid w:val="0037441D"/>
    <w:rsid w:val="00376168"/>
    <w:rsid w:val="00384C68"/>
    <w:rsid w:val="003859C8"/>
    <w:rsid w:val="003969F7"/>
    <w:rsid w:val="003A6185"/>
    <w:rsid w:val="003A6D0B"/>
    <w:rsid w:val="003A7740"/>
    <w:rsid w:val="003B006A"/>
    <w:rsid w:val="003C1268"/>
    <w:rsid w:val="003C1DE5"/>
    <w:rsid w:val="003C38D4"/>
    <w:rsid w:val="003E4856"/>
    <w:rsid w:val="00411509"/>
    <w:rsid w:val="004237B0"/>
    <w:rsid w:val="00423F69"/>
    <w:rsid w:val="00426299"/>
    <w:rsid w:val="004321F5"/>
    <w:rsid w:val="004403BD"/>
    <w:rsid w:val="0044385D"/>
    <w:rsid w:val="0044430E"/>
    <w:rsid w:val="00445BD7"/>
    <w:rsid w:val="00454956"/>
    <w:rsid w:val="004657FD"/>
    <w:rsid w:val="00467F05"/>
    <w:rsid w:val="004748A8"/>
    <w:rsid w:val="004850F1"/>
    <w:rsid w:val="004854AF"/>
    <w:rsid w:val="004A5011"/>
    <w:rsid w:val="004B183B"/>
    <w:rsid w:val="004B5424"/>
    <w:rsid w:val="004B5EFF"/>
    <w:rsid w:val="004C065E"/>
    <w:rsid w:val="004E4EDB"/>
    <w:rsid w:val="004E6908"/>
    <w:rsid w:val="004F16A9"/>
    <w:rsid w:val="004F4A41"/>
    <w:rsid w:val="004F4EA9"/>
    <w:rsid w:val="00511ECB"/>
    <w:rsid w:val="00526655"/>
    <w:rsid w:val="0053306E"/>
    <w:rsid w:val="00544765"/>
    <w:rsid w:val="00547AA6"/>
    <w:rsid w:val="00553FCB"/>
    <w:rsid w:val="00564BE6"/>
    <w:rsid w:val="00585043"/>
    <w:rsid w:val="00587824"/>
    <w:rsid w:val="005A1815"/>
    <w:rsid w:val="005A2FF1"/>
    <w:rsid w:val="005A37EF"/>
    <w:rsid w:val="005A3E70"/>
    <w:rsid w:val="005A777D"/>
    <w:rsid w:val="005D5BB0"/>
    <w:rsid w:val="005E01F3"/>
    <w:rsid w:val="005E230C"/>
    <w:rsid w:val="005F716D"/>
    <w:rsid w:val="006026CB"/>
    <w:rsid w:val="00602A3E"/>
    <w:rsid w:val="0060488A"/>
    <w:rsid w:val="00604DBB"/>
    <w:rsid w:val="006233F6"/>
    <w:rsid w:val="0063120A"/>
    <w:rsid w:val="00636249"/>
    <w:rsid w:val="006372ED"/>
    <w:rsid w:val="0064113C"/>
    <w:rsid w:val="00642A3B"/>
    <w:rsid w:val="00645161"/>
    <w:rsid w:val="00651B0E"/>
    <w:rsid w:val="00660B59"/>
    <w:rsid w:val="00661398"/>
    <w:rsid w:val="00661A07"/>
    <w:rsid w:val="006625BD"/>
    <w:rsid w:val="006662E6"/>
    <w:rsid w:val="0068114D"/>
    <w:rsid w:val="00685260"/>
    <w:rsid w:val="006928CD"/>
    <w:rsid w:val="006A3377"/>
    <w:rsid w:val="006A351E"/>
    <w:rsid w:val="006A4152"/>
    <w:rsid w:val="006A7A33"/>
    <w:rsid w:val="006A7CC5"/>
    <w:rsid w:val="006B69C4"/>
    <w:rsid w:val="006C1098"/>
    <w:rsid w:val="006C3113"/>
    <w:rsid w:val="006C3E11"/>
    <w:rsid w:val="006D1FEA"/>
    <w:rsid w:val="006D387C"/>
    <w:rsid w:val="006D5211"/>
    <w:rsid w:val="006E7962"/>
    <w:rsid w:val="006F0985"/>
    <w:rsid w:val="006F3C1C"/>
    <w:rsid w:val="006F7B3B"/>
    <w:rsid w:val="00700636"/>
    <w:rsid w:val="00707DD6"/>
    <w:rsid w:val="0071658C"/>
    <w:rsid w:val="00723D54"/>
    <w:rsid w:val="00727057"/>
    <w:rsid w:val="00731754"/>
    <w:rsid w:val="007324EC"/>
    <w:rsid w:val="007344F2"/>
    <w:rsid w:val="00746559"/>
    <w:rsid w:val="007616E4"/>
    <w:rsid w:val="00771664"/>
    <w:rsid w:val="00773F13"/>
    <w:rsid w:val="0077642B"/>
    <w:rsid w:val="00784798"/>
    <w:rsid w:val="007916DA"/>
    <w:rsid w:val="007A5337"/>
    <w:rsid w:val="007B0670"/>
    <w:rsid w:val="007C227C"/>
    <w:rsid w:val="007E170D"/>
    <w:rsid w:val="007F20B4"/>
    <w:rsid w:val="007F28B8"/>
    <w:rsid w:val="00804CED"/>
    <w:rsid w:val="008061CC"/>
    <w:rsid w:val="008151F0"/>
    <w:rsid w:val="00815920"/>
    <w:rsid w:val="0083411D"/>
    <w:rsid w:val="00835FCE"/>
    <w:rsid w:val="0084307D"/>
    <w:rsid w:val="00851D98"/>
    <w:rsid w:val="0085298F"/>
    <w:rsid w:val="00865EC4"/>
    <w:rsid w:val="00867B69"/>
    <w:rsid w:val="008749AC"/>
    <w:rsid w:val="0087623C"/>
    <w:rsid w:val="008807F0"/>
    <w:rsid w:val="00896E2C"/>
    <w:rsid w:val="008A5F21"/>
    <w:rsid w:val="008A65B6"/>
    <w:rsid w:val="008A6C01"/>
    <w:rsid w:val="008A6DF9"/>
    <w:rsid w:val="008A6E14"/>
    <w:rsid w:val="008A7FB6"/>
    <w:rsid w:val="008B7A66"/>
    <w:rsid w:val="008C0A28"/>
    <w:rsid w:val="008D23EE"/>
    <w:rsid w:val="008D4FFC"/>
    <w:rsid w:val="008E3652"/>
    <w:rsid w:val="008E5904"/>
    <w:rsid w:val="008E71E7"/>
    <w:rsid w:val="008E7A64"/>
    <w:rsid w:val="008F0A57"/>
    <w:rsid w:val="00912879"/>
    <w:rsid w:val="0091745B"/>
    <w:rsid w:val="009218DB"/>
    <w:rsid w:val="00926CB6"/>
    <w:rsid w:val="009407C1"/>
    <w:rsid w:val="009431CA"/>
    <w:rsid w:val="00943413"/>
    <w:rsid w:val="00945262"/>
    <w:rsid w:val="00954F1F"/>
    <w:rsid w:val="00955AB2"/>
    <w:rsid w:val="00960F5E"/>
    <w:rsid w:val="009669D9"/>
    <w:rsid w:val="00976552"/>
    <w:rsid w:val="00983613"/>
    <w:rsid w:val="009934EE"/>
    <w:rsid w:val="00997BBF"/>
    <w:rsid w:val="009A020E"/>
    <w:rsid w:val="009A07D2"/>
    <w:rsid w:val="009A6705"/>
    <w:rsid w:val="009B3128"/>
    <w:rsid w:val="009B6FC4"/>
    <w:rsid w:val="009C258B"/>
    <w:rsid w:val="009C2D88"/>
    <w:rsid w:val="009C33B9"/>
    <w:rsid w:val="009C4952"/>
    <w:rsid w:val="009D37CE"/>
    <w:rsid w:val="009D3BA9"/>
    <w:rsid w:val="009F448F"/>
    <w:rsid w:val="009F49F8"/>
    <w:rsid w:val="00A0259E"/>
    <w:rsid w:val="00A027E8"/>
    <w:rsid w:val="00A075B0"/>
    <w:rsid w:val="00A1019A"/>
    <w:rsid w:val="00A15C97"/>
    <w:rsid w:val="00A20B36"/>
    <w:rsid w:val="00A34616"/>
    <w:rsid w:val="00A36800"/>
    <w:rsid w:val="00A40210"/>
    <w:rsid w:val="00A442A0"/>
    <w:rsid w:val="00A50C97"/>
    <w:rsid w:val="00A50E4E"/>
    <w:rsid w:val="00A60609"/>
    <w:rsid w:val="00A60B01"/>
    <w:rsid w:val="00A702BA"/>
    <w:rsid w:val="00A9027D"/>
    <w:rsid w:val="00A95C8A"/>
    <w:rsid w:val="00A97ED9"/>
    <w:rsid w:val="00AA07E0"/>
    <w:rsid w:val="00AA428C"/>
    <w:rsid w:val="00AA5536"/>
    <w:rsid w:val="00AB2253"/>
    <w:rsid w:val="00AB3185"/>
    <w:rsid w:val="00AB46EF"/>
    <w:rsid w:val="00AB6CBE"/>
    <w:rsid w:val="00AB71AD"/>
    <w:rsid w:val="00AC1A78"/>
    <w:rsid w:val="00AC63AB"/>
    <w:rsid w:val="00AE3178"/>
    <w:rsid w:val="00AE36E9"/>
    <w:rsid w:val="00AE3AB4"/>
    <w:rsid w:val="00AE5240"/>
    <w:rsid w:val="00AE56D7"/>
    <w:rsid w:val="00AE7259"/>
    <w:rsid w:val="00B0335B"/>
    <w:rsid w:val="00B068D5"/>
    <w:rsid w:val="00B204B7"/>
    <w:rsid w:val="00B21B72"/>
    <w:rsid w:val="00B21C18"/>
    <w:rsid w:val="00B2311C"/>
    <w:rsid w:val="00B271E1"/>
    <w:rsid w:val="00B34C09"/>
    <w:rsid w:val="00B422BE"/>
    <w:rsid w:val="00B52F39"/>
    <w:rsid w:val="00B63BA7"/>
    <w:rsid w:val="00B6451E"/>
    <w:rsid w:val="00B73E40"/>
    <w:rsid w:val="00B76440"/>
    <w:rsid w:val="00B8722C"/>
    <w:rsid w:val="00B96AB3"/>
    <w:rsid w:val="00BA1DD5"/>
    <w:rsid w:val="00BA4F6D"/>
    <w:rsid w:val="00BD12A6"/>
    <w:rsid w:val="00BD3192"/>
    <w:rsid w:val="00BE43DE"/>
    <w:rsid w:val="00BE5AE7"/>
    <w:rsid w:val="00BF6647"/>
    <w:rsid w:val="00C1471B"/>
    <w:rsid w:val="00C1511D"/>
    <w:rsid w:val="00C16AC0"/>
    <w:rsid w:val="00C16AF9"/>
    <w:rsid w:val="00C17F39"/>
    <w:rsid w:val="00C23FE7"/>
    <w:rsid w:val="00C330D8"/>
    <w:rsid w:val="00C4042D"/>
    <w:rsid w:val="00C44C0E"/>
    <w:rsid w:val="00C5573A"/>
    <w:rsid w:val="00C57359"/>
    <w:rsid w:val="00C638D7"/>
    <w:rsid w:val="00C64591"/>
    <w:rsid w:val="00C70B0E"/>
    <w:rsid w:val="00C7601D"/>
    <w:rsid w:val="00C76C2C"/>
    <w:rsid w:val="00C9658E"/>
    <w:rsid w:val="00CA2E2C"/>
    <w:rsid w:val="00CB14EB"/>
    <w:rsid w:val="00CB5C5B"/>
    <w:rsid w:val="00CC2EEB"/>
    <w:rsid w:val="00CD26E9"/>
    <w:rsid w:val="00CD47DA"/>
    <w:rsid w:val="00CE4F2D"/>
    <w:rsid w:val="00CF1C8B"/>
    <w:rsid w:val="00CF2A60"/>
    <w:rsid w:val="00CF4F8D"/>
    <w:rsid w:val="00D00983"/>
    <w:rsid w:val="00D025A3"/>
    <w:rsid w:val="00D075E6"/>
    <w:rsid w:val="00D1146D"/>
    <w:rsid w:val="00D248B3"/>
    <w:rsid w:val="00D25365"/>
    <w:rsid w:val="00D47AF4"/>
    <w:rsid w:val="00D51BD4"/>
    <w:rsid w:val="00D52FD2"/>
    <w:rsid w:val="00D53624"/>
    <w:rsid w:val="00D55CD5"/>
    <w:rsid w:val="00D71514"/>
    <w:rsid w:val="00D74398"/>
    <w:rsid w:val="00D752C3"/>
    <w:rsid w:val="00D86FFB"/>
    <w:rsid w:val="00DA2B8F"/>
    <w:rsid w:val="00DA7DFE"/>
    <w:rsid w:val="00DB244D"/>
    <w:rsid w:val="00DB4B19"/>
    <w:rsid w:val="00DB788E"/>
    <w:rsid w:val="00DD18E6"/>
    <w:rsid w:val="00DD35D6"/>
    <w:rsid w:val="00DD644B"/>
    <w:rsid w:val="00DE23C2"/>
    <w:rsid w:val="00DF7B27"/>
    <w:rsid w:val="00E044BF"/>
    <w:rsid w:val="00E0621C"/>
    <w:rsid w:val="00E06685"/>
    <w:rsid w:val="00E06B1B"/>
    <w:rsid w:val="00E146CE"/>
    <w:rsid w:val="00E17D02"/>
    <w:rsid w:val="00E220B9"/>
    <w:rsid w:val="00E2366B"/>
    <w:rsid w:val="00E31AAF"/>
    <w:rsid w:val="00E32DA8"/>
    <w:rsid w:val="00E36115"/>
    <w:rsid w:val="00E4296B"/>
    <w:rsid w:val="00E454CC"/>
    <w:rsid w:val="00E503CB"/>
    <w:rsid w:val="00E544C2"/>
    <w:rsid w:val="00E842F5"/>
    <w:rsid w:val="00E8634E"/>
    <w:rsid w:val="00E8720A"/>
    <w:rsid w:val="00E94534"/>
    <w:rsid w:val="00E978A6"/>
    <w:rsid w:val="00EC2872"/>
    <w:rsid w:val="00ED664F"/>
    <w:rsid w:val="00ED67BE"/>
    <w:rsid w:val="00ED79C0"/>
    <w:rsid w:val="00EE277A"/>
    <w:rsid w:val="00EE7A80"/>
    <w:rsid w:val="00EF0666"/>
    <w:rsid w:val="00EF0B53"/>
    <w:rsid w:val="00EF43CF"/>
    <w:rsid w:val="00F03C53"/>
    <w:rsid w:val="00F15D17"/>
    <w:rsid w:val="00F4146A"/>
    <w:rsid w:val="00F44E5F"/>
    <w:rsid w:val="00F459E1"/>
    <w:rsid w:val="00F46BC6"/>
    <w:rsid w:val="00F51D52"/>
    <w:rsid w:val="00F56B0B"/>
    <w:rsid w:val="00F57398"/>
    <w:rsid w:val="00F82D2A"/>
    <w:rsid w:val="00F84143"/>
    <w:rsid w:val="00F86312"/>
    <w:rsid w:val="00F869EB"/>
    <w:rsid w:val="00F9364D"/>
    <w:rsid w:val="00F95E18"/>
    <w:rsid w:val="00FA2528"/>
    <w:rsid w:val="00FA363C"/>
    <w:rsid w:val="00FA39F4"/>
    <w:rsid w:val="00FA48B1"/>
    <w:rsid w:val="00FC774D"/>
    <w:rsid w:val="00FD4B8F"/>
    <w:rsid w:val="00FD5D28"/>
    <w:rsid w:val="00FD7A0D"/>
    <w:rsid w:val="00FE0769"/>
    <w:rsid w:val="00FE500A"/>
    <w:rsid w:val="00FE6484"/>
    <w:rsid w:val="00FF08A6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F7FD"/>
  <w15:docId w15:val="{68847EB1-E745-4473-AD54-65A9861D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872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EF0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F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C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C2872"/>
  </w:style>
  <w:style w:type="table" w:styleId="TableGrid">
    <w:name w:val="Table Grid"/>
    <w:basedOn w:val="TableNormal"/>
    <w:uiPriority w:val="39"/>
    <w:rsid w:val="00EC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C2872"/>
    <w:pPr>
      <w:ind w:left="720"/>
      <w:contextualSpacing/>
    </w:pPr>
  </w:style>
  <w:style w:type="paragraph" w:customStyle="1" w:styleId="Default">
    <w:name w:val="Default"/>
    <w:rsid w:val="00EC28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287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EC2872"/>
  </w:style>
  <w:style w:type="character" w:customStyle="1" w:styleId="slovasifarnik">
    <w:name w:val="slovasifarnik"/>
    <w:basedOn w:val="DefaultParagraphFont"/>
    <w:rsid w:val="00EC2872"/>
  </w:style>
  <w:style w:type="paragraph" w:styleId="Header">
    <w:name w:val="header"/>
    <w:basedOn w:val="Normal"/>
    <w:link w:val="HeaderChar"/>
    <w:uiPriority w:val="99"/>
    <w:unhideWhenUsed/>
    <w:rsid w:val="00E5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4C2"/>
  </w:style>
  <w:style w:type="character" w:customStyle="1" w:styleId="Heading1Char">
    <w:name w:val="Heading 1 Char"/>
    <w:basedOn w:val="DefaultParagraphFont"/>
    <w:link w:val="Heading1"/>
    <w:uiPriority w:val="9"/>
    <w:rsid w:val="00EF066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F0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x457285">
    <w:name w:val="box_457285"/>
    <w:basedOn w:val="Normal"/>
    <w:rsid w:val="0046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18</Pages>
  <Words>5192</Words>
  <Characters>29597</Characters>
  <Application>Microsoft Office Word</Application>
  <DocSecurity>0</DocSecurity>
  <Lines>246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Mijic</dc:creator>
  <cp:lastModifiedBy>Branka Mijić</cp:lastModifiedBy>
  <cp:revision>351</cp:revision>
  <cp:lastPrinted>2022-12-07T11:25:00Z</cp:lastPrinted>
  <dcterms:created xsi:type="dcterms:W3CDTF">2021-09-27T12:42:00Z</dcterms:created>
  <dcterms:modified xsi:type="dcterms:W3CDTF">2023-12-18T06:46:00Z</dcterms:modified>
</cp:coreProperties>
</file>