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0FB" w:rsidRPr="00194169" w:rsidRDefault="00C27956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>POLJOPRIVREDNI INSTITUT OSIJEK</w:t>
      </w:r>
    </w:p>
    <w:p w:rsidR="00C27956" w:rsidRPr="00194169" w:rsidRDefault="00C27956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>JUŽNO PREDGRAĐE 17</w:t>
      </w:r>
    </w:p>
    <w:p w:rsidR="00C27956" w:rsidRPr="00194169" w:rsidRDefault="00C27956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>31000 OSIJEK</w:t>
      </w:r>
    </w:p>
    <w:p w:rsidR="00C27956" w:rsidRPr="00194169" w:rsidRDefault="00C27956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7956" w:rsidRPr="00194169" w:rsidRDefault="00C27956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>MATIČNI BROJ: 03058239</w:t>
      </w:r>
    </w:p>
    <w:p w:rsidR="00C55593" w:rsidRPr="00194169" w:rsidRDefault="00C55593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>OIB: 03665720049</w:t>
      </w:r>
    </w:p>
    <w:p w:rsidR="00C27956" w:rsidRPr="00194169" w:rsidRDefault="00C27956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>RAZINA: 11</w:t>
      </w:r>
    </w:p>
    <w:p w:rsidR="00C27956" w:rsidRPr="00194169" w:rsidRDefault="00C27956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 xml:space="preserve">ŠIFRA DJELATNOSTI: </w:t>
      </w:r>
      <w:r w:rsidR="00E65836" w:rsidRPr="00194169">
        <w:rPr>
          <w:rFonts w:ascii="Times New Roman" w:hAnsi="Times New Roman" w:cs="Times New Roman"/>
          <w:sz w:val="24"/>
          <w:szCs w:val="24"/>
        </w:rPr>
        <w:t>72100</w:t>
      </w:r>
    </w:p>
    <w:p w:rsidR="00C27956" w:rsidRPr="00194169" w:rsidRDefault="00C27956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>RAZDJEL: 080</w:t>
      </w:r>
    </w:p>
    <w:p w:rsidR="005049C8" w:rsidRPr="00194169" w:rsidRDefault="00C27956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>ŠIFRA GRADA/OPĆINE:</w:t>
      </w:r>
      <w:r w:rsidR="005049C8" w:rsidRPr="00194169">
        <w:rPr>
          <w:rFonts w:ascii="Times New Roman" w:hAnsi="Times New Roman" w:cs="Times New Roman"/>
          <w:sz w:val="24"/>
          <w:szCs w:val="24"/>
        </w:rPr>
        <w:t xml:space="preserve"> </w:t>
      </w:r>
      <w:r w:rsidRPr="00194169">
        <w:rPr>
          <w:rFonts w:ascii="Times New Roman" w:hAnsi="Times New Roman" w:cs="Times New Roman"/>
          <w:sz w:val="24"/>
          <w:szCs w:val="24"/>
        </w:rPr>
        <w:t>312</w:t>
      </w:r>
    </w:p>
    <w:p w:rsidR="00AC1B1D" w:rsidRPr="00194169" w:rsidRDefault="00AC1B1D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65721" w:rsidRPr="00194169" w:rsidRDefault="00065721" w:rsidP="00E451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1460" w:rsidRPr="00194169" w:rsidRDefault="00FF1460" w:rsidP="00E451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>BILJEŠKE</w:t>
      </w:r>
    </w:p>
    <w:p w:rsidR="00FF1460" w:rsidRPr="00194169" w:rsidRDefault="00FF1460" w:rsidP="00E451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>UZ FINANCIJSKE IZVJEŠTAJE ZA RAZDOBLJE</w:t>
      </w:r>
    </w:p>
    <w:p w:rsidR="00FF1460" w:rsidRPr="00194169" w:rsidRDefault="00FF1460" w:rsidP="00E4512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4169">
        <w:rPr>
          <w:rFonts w:ascii="Times New Roman" w:hAnsi="Times New Roman" w:cs="Times New Roman"/>
          <w:sz w:val="24"/>
          <w:szCs w:val="24"/>
        </w:rPr>
        <w:t>OD 1. SIJEČNJA DO 31. PROSINCA 202</w:t>
      </w:r>
      <w:r w:rsidR="001A7214" w:rsidRPr="00194169">
        <w:rPr>
          <w:rFonts w:ascii="Times New Roman" w:hAnsi="Times New Roman" w:cs="Times New Roman"/>
          <w:sz w:val="24"/>
          <w:szCs w:val="24"/>
        </w:rPr>
        <w:t>5</w:t>
      </w:r>
      <w:r w:rsidRPr="00194169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5049C8" w:rsidRPr="001628EC" w:rsidRDefault="005049C8" w:rsidP="00C55593">
      <w:pPr>
        <w:jc w:val="both"/>
        <w:rPr>
          <w:rFonts w:ascii="Times New Roman" w:hAnsi="Times New Roman" w:cs="Times New Roman"/>
        </w:rPr>
      </w:pPr>
    </w:p>
    <w:p w:rsidR="005049C8" w:rsidRPr="00977B0C" w:rsidRDefault="00E10358" w:rsidP="00C55593">
      <w:pPr>
        <w:jc w:val="both"/>
        <w:rPr>
          <w:rFonts w:ascii="Times New Roman" w:hAnsi="Times New Roman" w:cs="Times New Roman"/>
          <w:sz w:val="24"/>
          <w:szCs w:val="24"/>
        </w:rPr>
      </w:pPr>
      <w:r w:rsidRPr="00977B0C">
        <w:rPr>
          <w:rFonts w:ascii="Times New Roman" w:hAnsi="Times New Roman" w:cs="Times New Roman"/>
          <w:sz w:val="24"/>
          <w:szCs w:val="24"/>
        </w:rPr>
        <w:t>OP</w:t>
      </w:r>
      <w:r w:rsidR="001D6EE3" w:rsidRPr="00977B0C">
        <w:rPr>
          <w:rFonts w:ascii="Times New Roman" w:hAnsi="Times New Roman" w:cs="Times New Roman"/>
          <w:sz w:val="24"/>
          <w:szCs w:val="24"/>
        </w:rPr>
        <w:t>Ć</w:t>
      </w:r>
      <w:r w:rsidRPr="00977B0C">
        <w:rPr>
          <w:rFonts w:ascii="Times New Roman" w:hAnsi="Times New Roman" w:cs="Times New Roman"/>
          <w:sz w:val="24"/>
          <w:szCs w:val="24"/>
        </w:rPr>
        <w:t>ENITO O INSTITUTU</w:t>
      </w:r>
    </w:p>
    <w:p w:rsidR="00F61349" w:rsidRPr="001628EC" w:rsidRDefault="00F61349" w:rsidP="00C55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Poljoprivredni </w:t>
      </w:r>
      <w:r w:rsidR="00417664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nstitut Osijek je javni znanstveni institut u Republici Hrvatskoj iz znanstvenog područja biotehničkih znanosti koji kroz znanstveno</w:t>
      </w:r>
      <w:r w:rsidR="00D56891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istraživački rad i pronalaženje inovativnih rješenja doprinosi razvoju i unaprjeđenju znanosti (biljne znanosti) i poljoprivredne proizvodnje.</w:t>
      </w:r>
    </w:p>
    <w:p w:rsidR="00F61349" w:rsidRPr="001628EC" w:rsidRDefault="00F61349" w:rsidP="00C55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Institut ostvaruje znanstvene programe od strateškog interesa za Republiku Hrvatsku</w:t>
      </w:r>
      <w:r w:rsidR="00AB5760">
        <w:rPr>
          <w:rFonts w:ascii="Times New Roman" w:eastAsia="Times New Roman" w:hAnsi="Times New Roman" w:cs="Times New Roman"/>
          <w:sz w:val="24"/>
          <w:szCs w:val="24"/>
          <w:lang w:eastAsia="hr-HR"/>
        </w:rPr>
        <w:t>. U</w:t>
      </w: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suradnji s visokim učilištima uspostavlja znanstvenu infrastrukturu od interesa za cjelokupni sustav znanstvene djelatnosti i visokog obrazovanja i sudjeluje u procesu visokog obrazovanja.</w:t>
      </w:r>
    </w:p>
    <w:p w:rsidR="00F61349" w:rsidRPr="001628EC" w:rsidRDefault="00F61349" w:rsidP="00C55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Institut želi osigurati i razvijati izvrsnost u prim</w:t>
      </w:r>
      <w:r w:rsidR="0003238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jenjenim i razvojnim istraživanjima iz područja biljnih znanosti i time unaprijediti proizvodnju hrane i bioenergije, prateću industriju i go</w:t>
      </w:r>
      <w:r w:rsidR="00600ED8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podarenje prirodnim izvorima u regionalnom, nacionalnom i europskom kontekstu.</w:t>
      </w:r>
    </w:p>
    <w:p w:rsidR="00503F0D" w:rsidRDefault="003666A5" w:rsidP="00C55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dan 31. prosinca 2025. godine </w:t>
      </w:r>
      <w:r w:rsidR="00053F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Institut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zapošljava 169 zaposlenika na neodređeno vrijeme, od toga 34 doktora znanosti, jednog magistra znanosti te 33 djelatnika s visokom stručnom spremom. Na određeno vrijeme na dan 31. prosinca 2025. godine zaposleno je 42 djelatnika. Prosječan broj zaposlenih tijekom 2025. godine iznosio je 217 radnika, od čega se u prosjeku 169 radnika odnosilo na zaposlenike na neodređeno vrijeme, a 48 radnika na zaposlenike na određeno vrijeme. Razlika između stanja na dan 31.</w:t>
      </w:r>
      <w:r w:rsidR="00A410A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prosinca 2025. godine i prosječnog broja </w:t>
      </w:r>
      <w:r w:rsidR="00B40E8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radnika </w:t>
      </w:r>
      <w:r w:rsidR="0070263F">
        <w:rPr>
          <w:rFonts w:ascii="Times New Roman" w:eastAsia="Times New Roman" w:hAnsi="Times New Roman" w:cs="Times New Roman"/>
          <w:sz w:val="24"/>
          <w:szCs w:val="24"/>
          <w:lang w:eastAsia="hr-HR"/>
        </w:rPr>
        <w:t>na određeno vrijeme tijekom godine proizlazi iz angažiranja sezonskih radnika na poslovima poljoprivredne proizvodnje.</w:t>
      </w:r>
    </w:p>
    <w:p w:rsidR="00F61349" w:rsidRDefault="00F61349" w:rsidP="00C55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Znanstveno</w:t>
      </w:r>
      <w:r w:rsidR="008B083A"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istraživački, stručni i proizvodni rad organiziran </w:t>
      </w:r>
      <w:r w:rsidR="00C55593"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je kroz osam znanstvenih odjela, dvije službe i jednu radnu jedinicu:</w:t>
      </w:r>
    </w:p>
    <w:p w:rsidR="00F61349" w:rsidRPr="001628EC" w:rsidRDefault="00F61349" w:rsidP="00C555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oplemenjivanje i genetiku strnih žitarica u čijem sastavu se nalazi farinološki laboratorij i laboratorij za analizu pivarskog ječma i slada</w:t>
      </w:r>
    </w:p>
    <w:p w:rsidR="00F61349" w:rsidRPr="001628EC" w:rsidRDefault="00F61349" w:rsidP="00C555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oplemenjivanje i genetiku kukuruza</w:t>
      </w:r>
    </w:p>
    <w:p w:rsidR="00F61349" w:rsidRPr="001628EC" w:rsidRDefault="00F61349" w:rsidP="00C555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oplemenjivanje i genetiku industrijskog bilja</w:t>
      </w:r>
    </w:p>
    <w:p w:rsidR="00F61349" w:rsidRPr="001628EC" w:rsidRDefault="00F61349" w:rsidP="00C555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oplemenjivanje i genetiku krmnog bilja</w:t>
      </w:r>
    </w:p>
    <w:p w:rsidR="00F61349" w:rsidRPr="001628EC" w:rsidRDefault="00F61349" w:rsidP="00C555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voćarstvo u čijem sastavu se nalazi laboratorij za kulturu tkiva</w:t>
      </w:r>
    </w:p>
    <w:p w:rsidR="00F61349" w:rsidRPr="001628EC" w:rsidRDefault="00F61349" w:rsidP="00C555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sjemenarstvo u čijem sastavu se nalazi laboratorij za ispitivanje kakvoće sjemena</w:t>
      </w:r>
    </w:p>
    <w:p w:rsidR="00F61349" w:rsidRPr="001628EC" w:rsidRDefault="00F61349" w:rsidP="00C555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za poljoprivrednu tehniku i melioracije</w:t>
      </w:r>
    </w:p>
    <w:p w:rsidR="00F61349" w:rsidRPr="001628EC" w:rsidRDefault="00F61349" w:rsidP="00C555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Odjel - Agrokemijski laboratorij</w:t>
      </w:r>
    </w:p>
    <w:p w:rsidR="00F61349" w:rsidRPr="001628EC" w:rsidRDefault="00F61349" w:rsidP="00C555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Služba općih poslova</w:t>
      </w:r>
    </w:p>
    <w:p w:rsidR="00F61349" w:rsidRPr="001628EC" w:rsidRDefault="00F61349" w:rsidP="00C555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Financijska služba</w:t>
      </w:r>
    </w:p>
    <w:p w:rsidR="00F61349" w:rsidRPr="001628EC" w:rsidRDefault="00F61349" w:rsidP="00C5559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628EC">
        <w:rPr>
          <w:rFonts w:ascii="Times New Roman" w:eastAsia="Times New Roman" w:hAnsi="Times New Roman" w:cs="Times New Roman"/>
          <w:sz w:val="24"/>
          <w:szCs w:val="24"/>
          <w:lang w:eastAsia="hr-HR"/>
        </w:rPr>
        <w:t>Radna jedinica Sjemensko dobro</w:t>
      </w:r>
    </w:p>
    <w:p w:rsidR="008B083A" w:rsidRPr="001628EC" w:rsidRDefault="008B083A" w:rsidP="008B08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EC">
        <w:rPr>
          <w:rFonts w:ascii="Times New Roman" w:hAnsi="Times New Roman" w:cs="Times New Roman"/>
          <w:sz w:val="24"/>
          <w:szCs w:val="24"/>
        </w:rPr>
        <w:t>Tijela Instituta (čl. 23. Statuta) su:</w:t>
      </w:r>
    </w:p>
    <w:p w:rsidR="008B083A" w:rsidRPr="001628EC" w:rsidRDefault="008B083A" w:rsidP="008B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EC">
        <w:rPr>
          <w:rFonts w:ascii="Times New Roman" w:hAnsi="Times New Roman" w:cs="Times New Roman"/>
          <w:sz w:val="24"/>
          <w:szCs w:val="24"/>
        </w:rPr>
        <w:t>1. Upravno vijeće</w:t>
      </w:r>
    </w:p>
    <w:p w:rsidR="008B083A" w:rsidRPr="001628EC" w:rsidRDefault="008B083A" w:rsidP="008B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EC">
        <w:rPr>
          <w:rFonts w:ascii="Times New Roman" w:hAnsi="Times New Roman" w:cs="Times New Roman"/>
          <w:sz w:val="24"/>
          <w:szCs w:val="24"/>
        </w:rPr>
        <w:t>- vodi financijsku i poslovnu politiku Instituta (čl. 24.-28. Statuta);</w:t>
      </w:r>
    </w:p>
    <w:p w:rsidR="008B083A" w:rsidRPr="001628EC" w:rsidRDefault="008B083A" w:rsidP="008B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EC">
        <w:rPr>
          <w:rFonts w:ascii="Times New Roman" w:hAnsi="Times New Roman" w:cs="Times New Roman"/>
          <w:sz w:val="24"/>
          <w:szCs w:val="24"/>
        </w:rPr>
        <w:t>2. Ravnatelj</w:t>
      </w:r>
    </w:p>
    <w:p w:rsidR="008B083A" w:rsidRPr="001628EC" w:rsidRDefault="008B083A" w:rsidP="008B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EC">
        <w:rPr>
          <w:rFonts w:ascii="Times New Roman" w:hAnsi="Times New Roman" w:cs="Times New Roman"/>
          <w:sz w:val="24"/>
          <w:szCs w:val="24"/>
        </w:rPr>
        <w:t>- predstavlja, zastupa i rukovodi radom Instituta (čl. 29.-37. Statuta);</w:t>
      </w:r>
    </w:p>
    <w:p w:rsidR="008B083A" w:rsidRPr="001628EC" w:rsidRDefault="008B083A" w:rsidP="008B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EC">
        <w:rPr>
          <w:rFonts w:ascii="Times New Roman" w:hAnsi="Times New Roman" w:cs="Times New Roman"/>
          <w:sz w:val="24"/>
          <w:szCs w:val="24"/>
        </w:rPr>
        <w:t>3. Znanstveno vijeće</w:t>
      </w:r>
    </w:p>
    <w:p w:rsidR="008B083A" w:rsidRPr="001628EC" w:rsidRDefault="008B083A" w:rsidP="008B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EC">
        <w:rPr>
          <w:rFonts w:ascii="Times New Roman" w:hAnsi="Times New Roman" w:cs="Times New Roman"/>
          <w:sz w:val="24"/>
          <w:szCs w:val="24"/>
        </w:rPr>
        <w:t>- utvrđuje i provodi znanstvenu politiku Instituta (čl. 38.-44. Statuta);</w:t>
      </w:r>
    </w:p>
    <w:p w:rsidR="008B083A" w:rsidRPr="001628EC" w:rsidRDefault="008B083A" w:rsidP="008B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EC">
        <w:rPr>
          <w:rFonts w:ascii="Times New Roman" w:hAnsi="Times New Roman" w:cs="Times New Roman"/>
          <w:sz w:val="24"/>
          <w:szCs w:val="24"/>
        </w:rPr>
        <w:t>4. Znanstveni odbor</w:t>
      </w:r>
    </w:p>
    <w:p w:rsidR="008B083A" w:rsidRPr="001628EC" w:rsidRDefault="008B083A" w:rsidP="008B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EC">
        <w:rPr>
          <w:rFonts w:ascii="Times New Roman" w:hAnsi="Times New Roman" w:cs="Times New Roman"/>
          <w:sz w:val="24"/>
          <w:szCs w:val="24"/>
        </w:rPr>
        <w:t>- ima savjetodavnu ulogu u radu Znanstvenog vijeća (čl.</w:t>
      </w:r>
      <w:r w:rsidR="00E041B6" w:rsidRPr="001628EC">
        <w:rPr>
          <w:rFonts w:ascii="Times New Roman" w:hAnsi="Times New Roman" w:cs="Times New Roman"/>
          <w:sz w:val="24"/>
          <w:szCs w:val="24"/>
        </w:rPr>
        <w:t xml:space="preserve"> </w:t>
      </w:r>
      <w:r w:rsidRPr="001628EC">
        <w:rPr>
          <w:rFonts w:ascii="Times New Roman" w:hAnsi="Times New Roman" w:cs="Times New Roman"/>
          <w:sz w:val="24"/>
          <w:szCs w:val="24"/>
        </w:rPr>
        <w:t>45.-48. Statuta):</w:t>
      </w:r>
    </w:p>
    <w:p w:rsidR="008B083A" w:rsidRPr="001628EC" w:rsidRDefault="008B083A" w:rsidP="008B0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EC">
        <w:rPr>
          <w:rFonts w:ascii="Times New Roman" w:hAnsi="Times New Roman" w:cs="Times New Roman"/>
          <w:sz w:val="24"/>
          <w:szCs w:val="24"/>
        </w:rPr>
        <w:t>5. Stručni kolegij</w:t>
      </w:r>
    </w:p>
    <w:p w:rsidR="008B083A" w:rsidRDefault="008B083A" w:rsidP="0034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8EC">
        <w:rPr>
          <w:rFonts w:ascii="Times New Roman" w:hAnsi="Times New Roman" w:cs="Times New Roman"/>
          <w:sz w:val="24"/>
          <w:szCs w:val="24"/>
        </w:rPr>
        <w:t>- raspravlja, daje mišljenja i preporuke o svim pitanjima značajnim za rad i djelatnost Instituta (čl. 49.-51. Statuta).</w:t>
      </w:r>
    </w:p>
    <w:p w:rsidR="003405B3" w:rsidRPr="003405B3" w:rsidRDefault="003405B3" w:rsidP="00340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BF2" w:rsidRPr="001628EC" w:rsidRDefault="00ED5ADC" w:rsidP="003405B3">
      <w:pPr>
        <w:pStyle w:val="StandardWeb"/>
        <w:jc w:val="both"/>
      </w:pPr>
      <w:r w:rsidRPr="001628EC">
        <w:t xml:space="preserve">Poljoprivredni </w:t>
      </w:r>
      <w:r w:rsidR="00A90BAD" w:rsidRPr="001628EC">
        <w:t>institut Osijek proračunski je k</w:t>
      </w:r>
      <w:r w:rsidRPr="001628EC">
        <w:t>orisnik državnog proračuna upisan u Registar proračunskih i izvanproračunskih korisnika. S obzirom na to da je Institut obveznik poreza na dobit i poreza na dodanu vrijednost za svoju cjelokupnu djelatnost, poslovne knjige vodi sukladno Zakonu o računovodstvu i predaje izvještaje za poduzetnike.</w:t>
      </w:r>
    </w:p>
    <w:p w:rsidR="005515C8" w:rsidRDefault="00ED5ADC" w:rsidP="00784BF2">
      <w:pPr>
        <w:pStyle w:val="StandardWeb"/>
        <w:jc w:val="both"/>
      </w:pPr>
      <w:r w:rsidRPr="001628EC">
        <w:t>Uz fina</w:t>
      </w:r>
      <w:r w:rsidR="002467F3">
        <w:t>n</w:t>
      </w:r>
      <w:r w:rsidRPr="001628EC">
        <w:t xml:space="preserve">cijske izvještaje koje izrađuje i predaje u skladu sa Zakonom o računovodstvu (financijski izvještaji za poduzetnike), Institut je od 1. siječnja 2019. </w:t>
      </w:r>
      <w:r w:rsidR="00185DFC">
        <w:t>o</w:t>
      </w:r>
      <w:r w:rsidRPr="001628EC">
        <w:t>bvezan predavati (dodatne) financijske izvještaje u skladu sa zakonodavnim okvirom koji ur</w:t>
      </w:r>
      <w:r w:rsidR="008C2605">
        <w:t>eđuje proračunsko računovodstvo</w:t>
      </w:r>
      <w:r w:rsidRPr="001628EC">
        <w:t xml:space="preserve"> pa je za potrebe izrade tih izvještaja dužan osigurat</w:t>
      </w:r>
      <w:r w:rsidR="008C2605">
        <w:t>i</w:t>
      </w:r>
      <w:r w:rsidRPr="001628EC">
        <w:t xml:space="preserve"> </w:t>
      </w:r>
      <w:r w:rsidR="008C2605">
        <w:t>prevođenje</w:t>
      </w:r>
      <w:r w:rsidRPr="001628EC">
        <w:t xml:space="preserve"> podataka iz poduzetničkog na pro</w:t>
      </w:r>
      <w:r w:rsidR="0060522C" w:rsidRPr="001628EC">
        <w:t>r</w:t>
      </w:r>
      <w:r w:rsidR="00E4512C">
        <w:t>ačunsko računovodstv</w:t>
      </w:r>
      <w:r w:rsidR="00571821">
        <w:t>o</w:t>
      </w:r>
      <w:r w:rsidR="005516B3">
        <w:t>.</w:t>
      </w:r>
    </w:p>
    <w:p w:rsidR="004633EF" w:rsidRDefault="0003095F" w:rsidP="005516B3">
      <w:pPr>
        <w:pStyle w:val="StandardWeb"/>
        <w:jc w:val="both"/>
      </w:pPr>
      <w:r w:rsidRPr="001628EC">
        <w:t>Sukladno članku 1</w:t>
      </w:r>
      <w:r w:rsidR="00E833B6">
        <w:t>6. do 18.a</w:t>
      </w:r>
      <w:r w:rsidRPr="001628EC">
        <w:t xml:space="preserve"> Pravilnika o financijskom izvještavanju u proračunskom računovodstvu (NN 3/15) te Pravilnika o izmjenama (NN 112/2018.) dostavlj</w:t>
      </w:r>
      <w:r w:rsidR="00E4512C">
        <w:t xml:space="preserve">amo obvezne bilješke uz </w:t>
      </w:r>
      <w:r w:rsidR="005516B3">
        <w:t>financijske izvještaje.</w:t>
      </w:r>
    </w:p>
    <w:p w:rsidR="0012610A" w:rsidRPr="0012610A" w:rsidRDefault="0012610A" w:rsidP="005516B3">
      <w:pPr>
        <w:pStyle w:val="StandardWeb"/>
        <w:jc w:val="both"/>
      </w:pPr>
    </w:p>
    <w:p w:rsidR="00A1759F" w:rsidRPr="0012610A" w:rsidRDefault="005516B3" w:rsidP="0012610A">
      <w:pPr>
        <w:pStyle w:val="StandardWeb"/>
        <w:jc w:val="both"/>
        <w:rPr>
          <w:b/>
        </w:rPr>
      </w:pPr>
      <w:r w:rsidRPr="005515C8">
        <w:rPr>
          <w:b/>
        </w:rPr>
        <w:lastRenderedPageBreak/>
        <w:t>Bilješke uz bilancu</w:t>
      </w:r>
    </w:p>
    <w:p w:rsidR="00592E41" w:rsidRDefault="00592E41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6575">
        <w:rPr>
          <w:rFonts w:ascii="Times New Roman" w:eastAsia="Calibri" w:hAnsi="Times New Roman" w:cs="Times New Roman"/>
          <w:sz w:val="24"/>
          <w:szCs w:val="24"/>
        </w:rPr>
        <w:t xml:space="preserve">Bilješka </w:t>
      </w:r>
      <w:r w:rsidR="00CD6458">
        <w:rPr>
          <w:rFonts w:ascii="Times New Roman" w:eastAsia="Calibri" w:hAnsi="Times New Roman" w:cs="Times New Roman"/>
          <w:sz w:val="24"/>
          <w:szCs w:val="24"/>
        </w:rPr>
        <w:t>1</w:t>
      </w:r>
      <w:r w:rsidRPr="00D16575">
        <w:rPr>
          <w:rFonts w:ascii="Times New Roman" w:eastAsia="Calibri" w:hAnsi="Times New Roman" w:cs="Times New Roman"/>
          <w:sz w:val="24"/>
          <w:szCs w:val="24"/>
        </w:rPr>
        <w:t>. Promjene na imovini (</w:t>
      </w:r>
      <w:r w:rsidR="001D735D" w:rsidRPr="00D16575">
        <w:rPr>
          <w:rFonts w:ascii="Times New Roman" w:eastAsia="Calibri" w:hAnsi="Times New Roman" w:cs="Times New Roman"/>
          <w:sz w:val="24"/>
          <w:szCs w:val="24"/>
        </w:rPr>
        <w:t xml:space="preserve">šifra </w:t>
      </w:r>
      <w:r w:rsidR="00590F50" w:rsidRPr="00D16575">
        <w:rPr>
          <w:rFonts w:ascii="Times New Roman" w:eastAsia="Calibri" w:hAnsi="Times New Roman" w:cs="Times New Roman"/>
          <w:sz w:val="24"/>
          <w:szCs w:val="24"/>
        </w:rPr>
        <w:t>B</w:t>
      </w:r>
      <w:r w:rsidRPr="00D16575">
        <w:rPr>
          <w:rFonts w:ascii="Times New Roman" w:eastAsia="Calibri" w:hAnsi="Times New Roman" w:cs="Times New Roman"/>
          <w:sz w:val="24"/>
          <w:szCs w:val="24"/>
        </w:rPr>
        <w:t>001)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0B09" w:rsidRDefault="00130B09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30B09" w:rsidRDefault="00592E41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Promjen</w:t>
      </w:r>
      <w:r w:rsidR="000750E9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imovine u odnosu na početak godine </w:t>
      </w:r>
      <w:r w:rsidR="008A320A">
        <w:rPr>
          <w:rFonts w:ascii="Times New Roman" w:eastAsia="Calibri" w:hAnsi="Times New Roman" w:cs="Times New Roman"/>
          <w:sz w:val="24"/>
          <w:szCs w:val="24"/>
        </w:rPr>
        <w:t>smanjena je 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7D7">
        <w:rPr>
          <w:rFonts w:ascii="Times New Roman" w:eastAsia="Calibri" w:hAnsi="Times New Roman" w:cs="Times New Roman"/>
          <w:sz w:val="24"/>
          <w:szCs w:val="24"/>
        </w:rPr>
        <w:t>0</w:t>
      </w:r>
      <w:r w:rsidR="008A320A">
        <w:rPr>
          <w:rFonts w:ascii="Times New Roman" w:eastAsia="Calibri" w:hAnsi="Times New Roman" w:cs="Times New Roman"/>
          <w:sz w:val="24"/>
          <w:szCs w:val="24"/>
        </w:rPr>
        <w:t>,6</w:t>
      </w:r>
      <w:r w:rsidR="001B7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0531">
        <w:rPr>
          <w:rFonts w:ascii="Times New Roman" w:eastAsia="Calibri" w:hAnsi="Times New Roman" w:cs="Times New Roman"/>
          <w:sz w:val="24"/>
          <w:szCs w:val="24"/>
        </w:rPr>
        <w:t>%</w:t>
      </w:r>
      <w:r w:rsidR="00C217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598A" w:rsidRDefault="00592E41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Proizvedena kratkotrajna imovina (</w:t>
      </w:r>
      <w:r w:rsidR="001D735D">
        <w:rPr>
          <w:rFonts w:ascii="Times New Roman" w:eastAsia="Calibri" w:hAnsi="Times New Roman" w:cs="Times New Roman"/>
          <w:sz w:val="24"/>
          <w:szCs w:val="24"/>
        </w:rPr>
        <w:t>šifra 06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A320A">
        <w:rPr>
          <w:rFonts w:ascii="Times New Roman" w:eastAsia="Calibri" w:hAnsi="Times New Roman" w:cs="Times New Roman"/>
          <w:sz w:val="24"/>
          <w:szCs w:val="24"/>
        </w:rPr>
        <w:t>manja je za 10</w:t>
      </w:r>
      <w:r w:rsidR="00A537D7">
        <w:rPr>
          <w:rFonts w:ascii="Times New Roman" w:eastAsia="Calibri" w:hAnsi="Times New Roman" w:cs="Times New Roman"/>
          <w:sz w:val="24"/>
          <w:szCs w:val="24"/>
        </w:rPr>
        <w:t>,</w:t>
      </w:r>
      <w:r w:rsidR="008A320A">
        <w:rPr>
          <w:rFonts w:ascii="Times New Roman" w:eastAsia="Calibri" w:hAnsi="Times New Roman" w:cs="Times New Roman"/>
          <w:sz w:val="24"/>
          <w:szCs w:val="24"/>
        </w:rPr>
        <w:t>4</w:t>
      </w:r>
      <w:r w:rsidR="001B7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="00A31E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 odnosu na početak godine.</w:t>
      </w:r>
    </w:p>
    <w:p w:rsidR="000A4BBB" w:rsidRDefault="0097598A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Zalihe za obavljanje djelatnosti </w:t>
      </w:r>
      <w:r w:rsidR="008A320A">
        <w:rPr>
          <w:rFonts w:ascii="Times New Roman" w:eastAsia="Calibri" w:hAnsi="Times New Roman" w:cs="Times New Roman"/>
          <w:sz w:val="24"/>
          <w:szCs w:val="24"/>
        </w:rPr>
        <w:t>smanjene</w:t>
      </w:r>
      <w:r w:rsidR="00A537D7">
        <w:rPr>
          <w:rFonts w:ascii="Times New Roman" w:eastAsia="Calibri" w:hAnsi="Times New Roman" w:cs="Times New Roman"/>
          <w:sz w:val="24"/>
          <w:szCs w:val="24"/>
        </w:rPr>
        <w:t xml:space="preserve"> 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8A320A">
        <w:rPr>
          <w:rFonts w:ascii="Times New Roman" w:eastAsia="Calibri" w:hAnsi="Times New Roman" w:cs="Times New Roman"/>
          <w:sz w:val="24"/>
          <w:szCs w:val="24"/>
        </w:rPr>
        <w:t>12</w:t>
      </w:r>
      <w:r w:rsidR="00A537D7">
        <w:rPr>
          <w:rFonts w:ascii="Times New Roman" w:eastAsia="Calibri" w:hAnsi="Times New Roman" w:cs="Times New Roman"/>
          <w:sz w:val="24"/>
          <w:szCs w:val="24"/>
        </w:rPr>
        <w:t>,</w:t>
      </w:r>
      <w:r w:rsidR="008A320A">
        <w:rPr>
          <w:rFonts w:ascii="Times New Roman" w:eastAsia="Calibri" w:hAnsi="Times New Roman" w:cs="Times New Roman"/>
          <w:sz w:val="24"/>
          <w:szCs w:val="24"/>
        </w:rPr>
        <w:t>5</w:t>
      </w:r>
      <w:r w:rsidR="001B7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% u odnosu na početak godine, dok su zalihe proizvodnje i proizvoda </w:t>
      </w:r>
      <w:r w:rsidR="008A320A">
        <w:rPr>
          <w:rFonts w:ascii="Times New Roman" w:eastAsia="Calibri" w:hAnsi="Times New Roman" w:cs="Times New Roman"/>
          <w:sz w:val="24"/>
          <w:szCs w:val="24"/>
        </w:rPr>
        <w:t>smanjene za 3,1</w:t>
      </w:r>
      <w:r w:rsidR="001B7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320A">
        <w:rPr>
          <w:rFonts w:ascii="Times New Roman" w:eastAsia="Calibri" w:hAnsi="Times New Roman" w:cs="Times New Roman"/>
          <w:sz w:val="24"/>
          <w:szCs w:val="24"/>
        </w:rPr>
        <w:t>%.</w:t>
      </w:r>
      <w:r w:rsidR="00A31E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Roba za daljnju prodaju </w:t>
      </w:r>
      <w:r w:rsidR="008F6294">
        <w:rPr>
          <w:rFonts w:ascii="Times New Roman" w:eastAsia="Calibri" w:hAnsi="Times New Roman" w:cs="Times New Roman"/>
          <w:sz w:val="24"/>
          <w:szCs w:val="24"/>
        </w:rPr>
        <w:t>smanjena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 za </w:t>
      </w:r>
      <w:r w:rsidR="008F6294">
        <w:rPr>
          <w:rFonts w:ascii="Times New Roman" w:eastAsia="Calibri" w:hAnsi="Times New Roman" w:cs="Times New Roman"/>
          <w:sz w:val="24"/>
          <w:szCs w:val="24"/>
        </w:rPr>
        <w:t>13,8</w:t>
      </w:r>
      <w:r w:rsidR="001B7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294">
        <w:rPr>
          <w:rFonts w:ascii="Times New Roman" w:eastAsia="Calibri" w:hAnsi="Times New Roman" w:cs="Times New Roman"/>
          <w:sz w:val="24"/>
          <w:szCs w:val="24"/>
        </w:rPr>
        <w:t>%.</w:t>
      </w:r>
      <w:r w:rsidR="00930C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Financijska imovina</w:t>
      </w:r>
      <w:r w:rsidR="000A4BB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D735D">
        <w:rPr>
          <w:rFonts w:ascii="Times New Roman" w:eastAsia="Calibri" w:hAnsi="Times New Roman" w:cs="Times New Roman"/>
          <w:sz w:val="24"/>
          <w:szCs w:val="24"/>
        </w:rPr>
        <w:t>šifra 1</w:t>
      </w:r>
      <w:r w:rsidR="000A4BBB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294">
        <w:rPr>
          <w:rFonts w:ascii="Times New Roman" w:eastAsia="Calibri" w:hAnsi="Times New Roman" w:cs="Times New Roman"/>
          <w:sz w:val="24"/>
          <w:szCs w:val="24"/>
        </w:rPr>
        <w:t>povećana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 za </w:t>
      </w:r>
      <w:r w:rsidR="00A537D7">
        <w:rPr>
          <w:rFonts w:ascii="Times New Roman" w:eastAsia="Calibri" w:hAnsi="Times New Roman" w:cs="Times New Roman"/>
          <w:sz w:val="24"/>
          <w:szCs w:val="24"/>
        </w:rPr>
        <w:t>29,</w:t>
      </w:r>
      <w:r w:rsidR="008F6294">
        <w:rPr>
          <w:rFonts w:ascii="Times New Roman" w:eastAsia="Calibri" w:hAnsi="Times New Roman" w:cs="Times New Roman"/>
          <w:sz w:val="24"/>
          <w:szCs w:val="24"/>
        </w:rPr>
        <w:t>4</w:t>
      </w:r>
      <w:r w:rsidR="001B7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%. </w:t>
      </w:r>
      <w:r w:rsidR="008F6294">
        <w:rPr>
          <w:rFonts w:ascii="Times New Roman" w:eastAsia="Calibri" w:hAnsi="Times New Roman" w:cs="Times New Roman"/>
          <w:sz w:val="24"/>
          <w:szCs w:val="24"/>
        </w:rPr>
        <w:t>Povećanje se najviše očituje u povećanju potraživanja za prihode poslovanja u iznosu od 39,8</w:t>
      </w:r>
      <w:r w:rsidR="001B7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294">
        <w:rPr>
          <w:rFonts w:ascii="Times New Roman" w:eastAsia="Calibri" w:hAnsi="Times New Roman" w:cs="Times New Roman"/>
          <w:sz w:val="24"/>
          <w:szCs w:val="24"/>
        </w:rPr>
        <w:t>%</w:t>
      </w:r>
      <w:r w:rsidR="005554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F6294" w:rsidRDefault="008F6294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A4BBB" w:rsidRDefault="000A4BBB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Bilješka </w:t>
      </w:r>
      <w:r w:rsidR="003405B3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 Promjene</w:t>
      </w:r>
      <w:r w:rsidR="00C217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 obvezama i vlastitim izvorima (</w:t>
      </w:r>
      <w:r w:rsidR="001D735D">
        <w:rPr>
          <w:rFonts w:ascii="Times New Roman" w:eastAsia="Calibri" w:hAnsi="Times New Roman" w:cs="Times New Roman"/>
          <w:sz w:val="24"/>
          <w:szCs w:val="24"/>
        </w:rPr>
        <w:t>šifra B003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0A4BBB" w:rsidRDefault="000A4BBB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0443" w:rsidRDefault="000A4BBB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Promjene na obvezama i vlastitim iz</w:t>
      </w:r>
      <w:r w:rsidR="00BA5A23">
        <w:rPr>
          <w:rFonts w:ascii="Times New Roman" w:eastAsia="Calibri" w:hAnsi="Times New Roman" w:cs="Times New Roman"/>
          <w:sz w:val="24"/>
          <w:szCs w:val="24"/>
        </w:rPr>
        <w:t>vor</w:t>
      </w:r>
      <w:r>
        <w:rPr>
          <w:rFonts w:ascii="Times New Roman" w:eastAsia="Calibri" w:hAnsi="Times New Roman" w:cs="Times New Roman"/>
          <w:sz w:val="24"/>
          <w:szCs w:val="24"/>
        </w:rPr>
        <w:t xml:space="preserve">ima u odnosu na početak godine </w:t>
      </w:r>
      <w:r w:rsidR="008F6294">
        <w:rPr>
          <w:rFonts w:ascii="Times New Roman" w:eastAsia="Calibri" w:hAnsi="Times New Roman" w:cs="Times New Roman"/>
          <w:sz w:val="24"/>
          <w:szCs w:val="24"/>
        </w:rPr>
        <w:t>smanjene su za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0C99">
        <w:rPr>
          <w:rFonts w:ascii="Times New Roman" w:eastAsia="Calibri" w:hAnsi="Times New Roman" w:cs="Times New Roman"/>
          <w:sz w:val="24"/>
          <w:szCs w:val="24"/>
        </w:rPr>
        <w:t>0,</w:t>
      </w:r>
      <w:r w:rsidR="008F6294">
        <w:rPr>
          <w:rFonts w:ascii="Times New Roman" w:eastAsia="Calibri" w:hAnsi="Times New Roman" w:cs="Times New Roman"/>
          <w:sz w:val="24"/>
          <w:szCs w:val="24"/>
        </w:rPr>
        <w:t>6</w:t>
      </w:r>
      <w:r w:rsidR="001B7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="00C2174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294">
        <w:rPr>
          <w:rFonts w:ascii="Times New Roman" w:eastAsia="Calibri" w:hAnsi="Times New Roman" w:cs="Times New Roman"/>
          <w:sz w:val="24"/>
          <w:szCs w:val="24"/>
        </w:rPr>
        <w:t>Najveće promjene se odnose na porast obveza za kredite i zajmove u iznosu od 136,5</w:t>
      </w:r>
      <w:r w:rsidR="001B7C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6294">
        <w:rPr>
          <w:rFonts w:ascii="Times New Roman" w:eastAsia="Calibri" w:hAnsi="Times New Roman" w:cs="Times New Roman"/>
          <w:sz w:val="24"/>
          <w:szCs w:val="24"/>
        </w:rPr>
        <w:t>% koje se koriste za potrebe tekuće likvidnosti Instituta.</w:t>
      </w:r>
    </w:p>
    <w:p w:rsidR="008F6294" w:rsidRDefault="008F6294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Rezultat navedenog je povećanje manjka </w:t>
      </w:r>
      <w:r w:rsidR="00A70A4B">
        <w:rPr>
          <w:rFonts w:ascii="Times New Roman" w:eastAsia="Calibri" w:hAnsi="Times New Roman" w:cs="Times New Roman"/>
          <w:sz w:val="24"/>
          <w:szCs w:val="24"/>
        </w:rPr>
        <w:t>prihoda poslovanja.</w:t>
      </w:r>
    </w:p>
    <w:p w:rsidR="004633EF" w:rsidRPr="0099771D" w:rsidRDefault="00A37998" w:rsidP="0099771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Primarna djelatnost </w:t>
      </w:r>
      <w:r w:rsidR="00D324B1">
        <w:rPr>
          <w:rFonts w:ascii="Times New Roman" w:hAnsi="Times New Roman"/>
          <w:sz w:val="24"/>
          <w:szCs w:val="24"/>
        </w:rPr>
        <w:t xml:space="preserve">Instituta </w:t>
      </w:r>
      <w:r>
        <w:rPr>
          <w:rFonts w:ascii="Times New Roman" w:hAnsi="Times New Roman"/>
          <w:sz w:val="24"/>
          <w:szCs w:val="24"/>
        </w:rPr>
        <w:t>je</w:t>
      </w:r>
      <w:r w:rsidR="00AB57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znanstveno-istraživački rad koji između ostalog rezultira stvaranjem sort</w:t>
      </w:r>
      <w:r w:rsidR="00AB576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h</w:t>
      </w:r>
      <w:r w:rsidR="00831617">
        <w:rPr>
          <w:rFonts w:ascii="Times New Roman" w:hAnsi="Times New Roman"/>
          <w:sz w:val="24"/>
          <w:szCs w:val="24"/>
        </w:rPr>
        <w:t xml:space="preserve">ibrida i voćnih sadnica koje se </w:t>
      </w:r>
      <w:r>
        <w:rPr>
          <w:rFonts w:ascii="Times New Roman" w:hAnsi="Times New Roman"/>
          <w:sz w:val="24"/>
          <w:szCs w:val="24"/>
        </w:rPr>
        <w:t>umnažaju</w:t>
      </w:r>
      <w:r w:rsidR="00AB5760">
        <w:rPr>
          <w:rFonts w:ascii="Times New Roman" w:hAnsi="Times New Roman"/>
          <w:sz w:val="24"/>
          <w:szCs w:val="24"/>
        </w:rPr>
        <w:t xml:space="preserve"> te plasiraju na tržište u svrhu ostvarivanja vlastitih prihoda. </w:t>
      </w:r>
      <w:r>
        <w:rPr>
          <w:rFonts w:ascii="Times New Roman" w:hAnsi="Times New Roman"/>
          <w:sz w:val="24"/>
          <w:szCs w:val="24"/>
        </w:rPr>
        <w:t xml:space="preserve">Specifičnost ovakvog poslovanja dovodi </w:t>
      </w:r>
      <w:r w:rsidR="00C2174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 toga da Institut ima odstupanja na pojedinim pozicijama u bilanci koja nisu uobičajen</w:t>
      </w:r>
      <w:r w:rsidR="00C2174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za proračunske korisnike (potraživanja i obveze).</w:t>
      </w:r>
    </w:p>
    <w:p w:rsidR="0066066F" w:rsidRDefault="0066066F" w:rsidP="008B57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E622F">
        <w:rPr>
          <w:rFonts w:ascii="Times New Roman" w:eastAsia="Calibri" w:hAnsi="Times New Roman" w:cs="Times New Roman"/>
          <w:b/>
          <w:sz w:val="24"/>
          <w:szCs w:val="24"/>
        </w:rPr>
        <w:t>Bilješke uz PR-RAS</w:t>
      </w:r>
    </w:p>
    <w:p w:rsidR="0066066F" w:rsidRDefault="0066066F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66F" w:rsidRDefault="0066066F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Bilješka 1.</w:t>
      </w:r>
      <w:r w:rsidR="00942590">
        <w:rPr>
          <w:rFonts w:ascii="Times New Roman" w:eastAsia="Calibri" w:hAnsi="Times New Roman" w:cs="Times New Roman"/>
          <w:sz w:val="24"/>
          <w:szCs w:val="24"/>
        </w:rPr>
        <w:t xml:space="preserve"> Prihodi poslovanja</w:t>
      </w:r>
    </w:p>
    <w:p w:rsidR="00942590" w:rsidRDefault="00942590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6066F" w:rsidRDefault="0066066F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Rezultat poslovanja Instituta </w:t>
      </w:r>
      <w:r w:rsidR="00240065">
        <w:rPr>
          <w:rFonts w:ascii="Times New Roman" w:eastAsia="Calibri" w:hAnsi="Times New Roman" w:cs="Times New Roman"/>
          <w:sz w:val="24"/>
          <w:szCs w:val="24"/>
        </w:rPr>
        <w:t>u velikoj mjeri</w:t>
      </w:r>
      <w:r>
        <w:rPr>
          <w:rFonts w:ascii="Times New Roman" w:eastAsia="Calibri" w:hAnsi="Times New Roman" w:cs="Times New Roman"/>
          <w:sz w:val="24"/>
          <w:szCs w:val="24"/>
        </w:rPr>
        <w:t xml:space="preserve"> ovisi o </w:t>
      </w:r>
      <w:r w:rsidR="00AB5760">
        <w:rPr>
          <w:rFonts w:ascii="Times New Roman" w:eastAsia="Calibri" w:hAnsi="Times New Roman" w:cs="Times New Roman"/>
          <w:sz w:val="24"/>
          <w:szCs w:val="24"/>
        </w:rPr>
        <w:t xml:space="preserve">komercijalnim aktivnostima koje Institut provodi na domaćem i inozemnom tržištu. </w:t>
      </w:r>
      <w:r w:rsidR="00942590">
        <w:rPr>
          <w:rFonts w:ascii="Times New Roman" w:eastAsia="Calibri" w:hAnsi="Times New Roman" w:cs="Times New Roman"/>
          <w:sz w:val="24"/>
          <w:szCs w:val="24"/>
        </w:rPr>
        <w:t xml:space="preserve">Prihodi poslovanja </w:t>
      </w:r>
      <w:r w:rsidR="00D30586">
        <w:rPr>
          <w:rFonts w:ascii="Times New Roman" w:eastAsia="Calibri" w:hAnsi="Times New Roman" w:cs="Times New Roman"/>
          <w:sz w:val="24"/>
          <w:szCs w:val="24"/>
        </w:rPr>
        <w:t>manji</w:t>
      </w:r>
      <w:r w:rsidR="00942590">
        <w:rPr>
          <w:rFonts w:ascii="Times New Roman" w:eastAsia="Calibri" w:hAnsi="Times New Roman" w:cs="Times New Roman"/>
          <w:sz w:val="24"/>
          <w:szCs w:val="24"/>
        </w:rPr>
        <w:t xml:space="preserve"> su za </w:t>
      </w:r>
      <w:r w:rsidR="00AE3EB7">
        <w:rPr>
          <w:rFonts w:ascii="Times New Roman" w:eastAsia="Calibri" w:hAnsi="Times New Roman" w:cs="Times New Roman"/>
          <w:sz w:val="24"/>
          <w:szCs w:val="24"/>
        </w:rPr>
        <w:t>9,3</w:t>
      </w:r>
      <w:r w:rsidR="009F3F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2590">
        <w:rPr>
          <w:rFonts w:ascii="Times New Roman" w:eastAsia="Calibri" w:hAnsi="Times New Roman" w:cs="Times New Roman"/>
          <w:sz w:val="24"/>
          <w:szCs w:val="24"/>
        </w:rPr>
        <w:t>% u odnosu na prošlu godinu. Ako se uzme u obzir način poslovanja i ostvarivanje prihoda koje prvenstveno ovisi o tržištu takvo odstupanje nije neuobičajeno.</w:t>
      </w:r>
    </w:p>
    <w:p w:rsidR="001D6EE3" w:rsidRDefault="001D6EE3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622F" w:rsidRDefault="00942590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Bilješka 2. Rashodi poslovanja</w:t>
      </w:r>
    </w:p>
    <w:p w:rsidR="005515C8" w:rsidRDefault="005515C8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2590" w:rsidRDefault="00942590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Kod usporedbe rashoda poslovanja </w:t>
      </w:r>
      <w:r w:rsidR="00B3158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E31DF">
        <w:rPr>
          <w:rFonts w:ascii="Times New Roman" w:eastAsia="Calibri" w:hAnsi="Times New Roman" w:cs="Times New Roman"/>
          <w:sz w:val="24"/>
          <w:szCs w:val="24"/>
        </w:rPr>
        <w:t>šifra Y034</w:t>
      </w:r>
      <w:r w:rsidR="00B3158B">
        <w:rPr>
          <w:rFonts w:ascii="Times New Roman" w:eastAsia="Calibri" w:hAnsi="Times New Roman" w:cs="Times New Roman"/>
          <w:sz w:val="24"/>
          <w:szCs w:val="24"/>
        </w:rPr>
        <w:t xml:space="preserve">)  </w:t>
      </w:r>
      <w:r>
        <w:rPr>
          <w:rFonts w:ascii="Times New Roman" w:eastAsia="Calibri" w:hAnsi="Times New Roman" w:cs="Times New Roman"/>
          <w:sz w:val="24"/>
          <w:szCs w:val="24"/>
        </w:rPr>
        <w:t>vidljivo je d</w:t>
      </w:r>
      <w:r w:rsidR="00B3158B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 oni porasli za </w:t>
      </w:r>
      <w:r w:rsidR="00AE3EB7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>
        <w:rPr>
          <w:rFonts w:ascii="Times New Roman" w:eastAsia="Calibri" w:hAnsi="Times New Roman" w:cs="Times New Roman"/>
          <w:sz w:val="24"/>
          <w:szCs w:val="24"/>
        </w:rPr>
        <w:t>% u odnosu na prošlu godinu. Odstupanje u s</w:t>
      </w:r>
      <w:r w:rsidR="00471C67">
        <w:rPr>
          <w:rFonts w:ascii="Times New Roman" w:eastAsia="Calibri" w:hAnsi="Times New Roman" w:cs="Times New Roman"/>
          <w:sz w:val="24"/>
          <w:szCs w:val="24"/>
        </w:rPr>
        <w:t>trukturi rashoda uvjetovana su specifičnostima proizvodnje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što je opet rezultat načina poslovanja Instituta</w:t>
      </w:r>
      <w:r w:rsidR="001B7C5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2590" w:rsidRDefault="00942590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CE622F" w:rsidRDefault="00942590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Bilješka 3. Ukupan manjak prihoda</w:t>
      </w:r>
    </w:p>
    <w:p w:rsidR="00C8302F" w:rsidRDefault="00C8302F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7C5F" w:rsidRPr="004633EF" w:rsidRDefault="00942590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Ukupan manjak prihoda (</w:t>
      </w:r>
      <w:r w:rsidR="00BE31DF">
        <w:rPr>
          <w:rFonts w:ascii="Times New Roman" w:eastAsia="Calibri" w:hAnsi="Times New Roman" w:cs="Times New Roman"/>
          <w:sz w:val="24"/>
          <w:szCs w:val="24"/>
        </w:rPr>
        <w:t>šifra Y004</w:t>
      </w:r>
      <w:r w:rsidR="00A969C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B5760">
        <w:rPr>
          <w:rFonts w:ascii="Times New Roman" w:eastAsia="Calibri" w:hAnsi="Times New Roman" w:cs="Times New Roman"/>
          <w:sz w:val="24"/>
          <w:szCs w:val="24"/>
        </w:rPr>
        <w:t xml:space="preserve">iznosi 4.254.657,47 EUR. </w:t>
      </w:r>
      <w:r w:rsidR="00B3158B">
        <w:rPr>
          <w:rFonts w:ascii="Times New Roman" w:eastAsia="Calibri" w:hAnsi="Times New Roman" w:cs="Times New Roman"/>
          <w:sz w:val="24"/>
          <w:szCs w:val="24"/>
        </w:rPr>
        <w:t>N</w:t>
      </w:r>
      <w:r w:rsidR="00C4672C">
        <w:rPr>
          <w:rFonts w:ascii="Times New Roman" w:eastAsia="Calibri" w:hAnsi="Times New Roman" w:cs="Times New Roman"/>
          <w:sz w:val="24"/>
          <w:szCs w:val="24"/>
        </w:rPr>
        <w:t>enaplaćeni prihodi</w:t>
      </w:r>
      <w:r w:rsidR="00B315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0AF2">
        <w:rPr>
          <w:rFonts w:ascii="Times New Roman" w:eastAsia="Calibri" w:hAnsi="Times New Roman" w:cs="Times New Roman"/>
          <w:sz w:val="24"/>
          <w:szCs w:val="24"/>
        </w:rPr>
        <w:t>veći</w:t>
      </w:r>
      <w:r w:rsidR="00B3158B">
        <w:rPr>
          <w:rFonts w:ascii="Times New Roman" w:eastAsia="Calibri" w:hAnsi="Times New Roman" w:cs="Times New Roman"/>
          <w:sz w:val="24"/>
          <w:szCs w:val="24"/>
        </w:rPr>
        <w:t xml:space="preserve"> su za </w:t>
      </w:r>
      <w:r w:rsidR="00090AF2">
        <w:rPr>
          <w:rFonts w:ascii="Times New Roman" w:eastAsia="Calibri" w:hAnsi="Times New Roman" w:cs="Times New Roman"/>
          <w:sz w:val="24"/>
          <w:szCs w:val="24"/>
        </w:rPr>
        <w:t>28,3</w:t>
      </w:r>
      <w:r w:rsidR="00B841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158B">
        <w:rPr>
          <w:rFonts w:ascii="Times New Roman" w:eastAsia="Calibri" w:hAnsi="Times New Roman" w:cs="Times New Roman"/>
          <w:sz w:val="24"/>
          <w:szCs w:val="24"/>
        </w:rPr>
        <w:t>%</w:t>
      </w:r>
      <w:r w:rsidR="00A969C4">
        <w:rPr>
          <w:rFonts w:ascii="Times New Roman" w:eastAsia="Calibri" w:hAnsi="Times New Roman" w:cs="Times New Roman"/>
          <w:sz w:val="24"/>
          <w:szCs w:val="24"/>
        </w:rPr>
        <w:t xml:space="preserve">. Ukupan iznos nenaplaćenih prihoda je </w:t>
      </w:r>
      <w:r w:rsidR="00090AF2">
        <w:rPr>
          <w:rFonts w:ascii="Times New Roman" w:eastAsia="Calibri" w:hAnsi="Times New Roman" w:cs="Times New Roman"/>
          <w:sz w:val="24"/>
          <w:szCs w:val="24"/>
        </w:rPr>
        <w:t>2.251.798,72</w:t>
      </w:r>
      <w:r w:rsidR="00C46D74">
        <w:rPr>
          <w:rFonts w:ascii="Times New Roman" w:eastAsia="Calibri" w:hAnsi="Times New Roman" w:cs="Times New Roman"/>
          <w:sz w:val="24"/>
          <w:szCs w:val="24"/>
        </w:rPr>
        <w:t xml:space="preserve"> EUR.</w:t>
      </w:r>
    </w:p>
    <w:p w:rsidR="004633EF" w:rsidRDefault="004633EF" w:rsidP="006606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622F" w:rsidRPr="007E6A92" w:rsidRDefault="004633EF" w:rsidP="0066066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4D15B2">
        <w:rPr>
          <w:rFonts w:ascii="Times New Roman" w:eastAsia="Calibri" w:hAnsi="Times New Roman" w:cs="Times New Roman"/>
          <w:b/>
          <w:sz w:val="24"/>
          <w:szCs w:val="24"/>
        </w:rPr>
        <w:t>ilješke uz RAS-funkcijski</w:t>
      </w:r>
    </w:p>
    <w:p w:rsidR="004633EF" w:rsidRDefault="004633EF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96B" w:rsidRDefault="001C296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Bilješka 1.</w:t>
      </w:r>
    </w:p>
    <w:p w:rsidR="00CE622F" w:rsidRDefault="00CE622F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2610A" w:rsidRDefault="001C296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Rashodi prema fu</w:t>
      </w:r>
      <w:r w:rsidR="001E6407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kcijskoj klasifikaciji </w:t>
      </w:r>
      <w:r w:rsidR="00AD7373">
        <w:rPr>
          <w:rFonts w:ascii="Times New Roman" w:eastAsia="Calibri" w:hAnsi="Times New Roman" w:cs="Times New Roman"/>
          <w:sz w:val="24"/>
          <w:szCs w:val="24"/>
        </w:rPr>
        <w:t>veći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su u odnosu na prošlu godinu za </w:t>
      </w:r>
      <w:r w:rsidR="009C3A93">
        <w:rPr>
          <w:rFonts w:ascii="Times New Roman" w:eastAsia="Calibri" w:hAnsi="Times New Roman" w:cs="Times New Roman"/>
          <w:sz w:val="24"/>
          <w:szCs w:val="24"/>
        </w:rPr>
        <w:t xml:space="preserve">8 </w:t>
      </w:r>
      <w:r>
        <w:rPr>
          <w:rFonts w:ascii="Times New Roman" w:eastAsia="Calibri" w:hAnsi="Times New Roman" w:cs="Times New Roman"/>
          <w:sz w:val="24"/>
          <w:szCs w:val="24"/>
        </w:rPr>
        <w:t>%</w:t>
      </w:r>
      <w:r w:rsidR="0012610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30C88" w:rsidRDefault="00930C88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75C4" w:rsidRDefault="005B75C4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96B" w:rsidRPr="0012610A" w:rsidRDefault="001C296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22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Bilješke uz Obveze</w:t>
      </w:r>
    </w:p>
    <w:p w:rsidR="001C296B" w:rsidRDefault="001C296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96B" w:rsidRDefault="001C296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Bilješka 1.</w:t>
      </w:r>
    </w:p>
    <w:p w:rsidR="00CE622F" w:rsidRDefault="00CE622F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C296B" w:rsidRDefault="001C296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Stanje obveza na kraju 202</w:t>
      </w:r>
      <w:r w:rsidR="0077047A">
        <w:rPr>
          <w:rFonts w:ascii="Times New Roman" w:eastAsia="Calibri" w:hAnsi="Times New Roman" w:cs="Times New Roman"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godine </w:t>
      </w:r>
      <w:r w:rsidR="0077047A">
        <w:rPr>
          <w:rFonts w:ascii="Times New Roman" w:eastAsia="Calibri" w:hAnsi="Times New Roman" w:cs="Times New Roman"/>
          <w:sz w:val="24"/>
          <w:szCs w:val="24"/>
        </w:rPr>
        <w:t>veće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 u odnosu na stanje </w:t>
      </w:r>
      <w:r w:rsidR="00414143">
        <w:rPr>
          <w:rFonts w:ascii="Times New Roman" w:eastAsia="Calibri" w:hAnsi="Times New Roman" w:cs="Times New Roman"/>
          <w:sz w:val="24"/>
          <w:szCs w:val="24"/>
        </w:rPr>
        <w:t>1. siječnja 2025.</w:t>
      </w:r>
      <w:r w:rsidR="00017D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godin</w:t>
      </w:r>
      <w:r w:rsidR="00443123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77047A">
        <w:rPr>
          <w:rFonts w:ascii="Times New Roman" w:eastAsia="Calibri" w:hAnsi="Times New Roman" w:cs="Times New Roman"/>
          <w:sz w:val="24"/>
          <w:szCs w:val="24"/>
        </w:rPr>
        <w:t xml:space="preserve">1.648.208,11 </w:t>
      </w:r>
      <w:r w:rsidR="00372E91">
        <w:rPr>
          <w:rFonts w:ascii="Times New Roman" w:eastAsia="Calibri" w:hAnsi="Times New Roman" w:cs="Times New Roman"/>
          <w:sz w:val="24"/>
          <w:szCs w:val="24"/>
        </w:rPr>
        <w:t>EUR</w:t>
      </w:r>
      <w:r w:rsidR="0077047A">
        <w:rPr>
          <w:rFonts w:ascii="Times New Roman" w:eastAsia="Calibri" w:hAnsi="Times New Roman" w:cs="Times New Roman"/>
          <w:sz w:val="24"/>
          <w:szCs w:val="24"/>
        </w:rPr>
        <w:t>.</w:t>
      </w:r>
      <w:r w:rsidR="00457800">
        <w:rPr>
          <w:rFonts w:ascii="Times New Roman" w:eastAsia="Calibri" w:hAnsi="Times New Roman" w:cs="Times New Roman"/>
          <w:sz w:val="24"/>
          <w:szCs w:val="24"/>
        </w:rPr>
        <w:t xml:space="preserve"> Stanje dospjelih obveza </w:t>
      </w:r>
      <w:r w:rsidR="003F0FF4">
        <w:rPr>
          <w:rFonts w:ascii="Times New Roman" w:eastAsia="Calibri" w:hAnsi="Times New Roman" w:cs="Times New Roman"/>
          <w:sz w:val="24"/>
          <w:szCs w:val="24"/>
        </w:rPr>
        <w:t>iznosi</w:t>
      </w:r>
      <w:r w:rsidR="004578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047A">
        <w:rPr>
          <w:rFonts w:ascii="Times New Roman" w:eastAsia="Calibri" w:hAnsi="Times New Roman" w:cs="Times New Roman"/>
          <w:sz w:val="24"/>
          <w:szCs w:val="24"/>
        </w:rPr>
        <w:t>3.365.253,19</w:t>
      </w:r>
      <w:r w:rsidR="004578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2E91">
        <w:rPr>
          <w:rFonts w:ascii="Times New Roman" w:eastAsia="Calibri" w:hAnsi="Times New Roman" w:cs="Times New Roman"/>
          <w:sz w:val="24"/>
          <w:szCs w:val="24"/>
        </w:rPr>
        <w:t>EUR</w:t>
      </w:r>
      <w:r w:rsidR="00457800">
        <w:rPr>
          <w:rFonts w:ascii="Times New Roman" w:eastAsia="Calibri" w:hAnsi="Times New Roman" w:cs="Times New Roman"/>
          <w:sz w:val="24"/>
          <w:szCs w:val="24"/>
        </w:rPr>
        <w:t>. Od toga</w:t>
      </w:r>
      <w:r w:rsidR="00443123">
        <w:rPr>
          <w:rFonts w:ascii="Times New Roman" w:eastAsia="Calibri" w:hAnsi="Times New Roman" w:cs="Times New Roman"/>
          <w:sz w:val="24"/>
          <w:szCs w:val="24"/>
        </w:rPr>
        <w:t xml:space="preserve"> se 186.936,67 EUR odnosi na obveze prema proračunskim korisnicima, a</w:t>
      </w:r>
      <w:r w:rsidR="003F0FF4">
        <w:rPr>
          <w:rFonts w:ascii="Times New Roman" w:eastAsia="Calibri" w:hAnsi="Times New Roman" w:cs="Times New Roman"/>
          <w:sz w:val="24"/>
          <w:szCs w:val="24"/>
        </w:rPr>
        <w:t xml:space="preserve"> 3.178.316,52 EUR</w:t>
      </w:r>
      <w:r w:rsidR="004431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665F">
        <w:rPr>
          <w:rFonts w:ascii="Times New Roman" w:eastAsia="Calibri" w:hAnsi="Times New Roman" w:cs="Times New Roman"/>
          <w:sz w:val="24"/>
          <w:szCs w:val="24"/>
        </w:rPr>
        <w:t xml:space="preserve">na obveze </w:t>
      </w:r>
      <w:r w:rsidR="00443123">
        <w:rPr>
          <w:rFonts w:ascii="Times New Roman" w:eastAsia="Calibri" w:hAnsi="Times New Roman" w:cs="Times New Roman"/>
          <w:sz w:val="24"/>
          <w:szCs w:val="24"/>
        </w:rPr>
        <w:t>rashoda poslovanja.</w:t>
      </w:r>
    </w:p>
    <w:p w:rsidR="00E94942" w:rsidRDefault="00E94942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Stanje nedospjelih obveza iznos</w:t>
      </w:r>
      <w:r w:rsidR="0059665F">
        <w:rPr>
          <w:rFonts w:ascii="Times New Roman" w:eastAsia="Calibri" w:hAnsi="Times New Roman" w:cs="Times New Roman"/>
          <w:sz w:val="24"/>
          <w:szCs w:val="24"/>
        </w:rPr>
        <w:t>i</w:t>
      </w:r>
      <w:r w:rsidR="003F0FF4">
        <w:rPr>
          <w:rFonts w:ascii="Times New Roman" w:eastAsia="Calibri" w:hAnsi="Times New Roman" w:cs="Times New Roman"/>
          <w:sz w:val="24"/>
          <w:szCs w:val="24"/>
        </w:rPr>
        <w:t xml:space="preserve"> 4.992.721,37</w:t>
      </w:r>
      <w:r w:rsidR="00372E91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72E91">
        <w:rPr>
          <w:rFonts w:ascii="Times New Roman" w:eastAsia="Calibri" w:hAnsi="Times New Roman" w:cs="Times New Roman"/>
          <w:sz w:val="24"/>
          <w:szCs w:val="24"/>
        </w:rPr>
        <w:t xml:space="preserve">Od toga međusobne obveze subjekata općeg proračuna </w:t>
      </w:r>
      <w:r w:rsidR="0059665F">
        <w:rPr>
          <w:rFonts w:ascii="Times New Roman" w:eastAsia="Calibri" w:hAnsi="Times New Roman" w:cs="Times New Roman"/>
          <w:sz w:val="24"/>
          <w:szCs w:val="24"/>
        </w:rPr>
        <w:t>iznose</w:t>
      </w:r>
      <w:r w:rsidR="00372E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FF4">
        <w:rPr>
          <w:rFonts w:ascii="Times New Roman" w:eastAsia="Calibri" w:hAnsi="Times New Roman" w:cs="Times New Roman"/>
          <w:sz w:val="24"/>
          <w:szCs w:val="24"/>
        </w:rPr>
        <w:t>9.454,76</w:t>
      </w:r>
      <w:r w:rsidR="00372E91">
        <w:rPr>
          <w:rFonts w:ascii="Times New Roman" w:eastAsia="Calibri" w:hAnsi="Times New Roman" w:cs="Times New Roman"/>
          <w:sz w:val="24"/>
          <w:szCs w:val="24"/>
        </w:rPr>
        <w:t xml:space="preserve"> EUR, </w:t>
      </w:r>
      <w:r w:rsidR="00616F0C">
        <w:rPr>
          <w:rFonts w:ascii="Times New Roman" w:eastAsia="Calibri" w:hAnsi="Times New Roman" w:cs="Times New Roman"/>
          <w:sz w:val="24"/>
          <w:szCs w:val="24"/>
        </w:rPr>
        <w:t>obveze za rash</w:t>
      </w:r>
      <w:r w:rsidR="002B6BE5">
        <w:rPr>
          <w:rFonts w:ascii="Times New Roman" w:eastAsia="Calibri" w:hAnsi="Times New Roman" w:cs="Times New Roman"/>
          <w:sz w:val="24"/>
          <w:szCs w:val="24"/>
        </w:rPr>
        <w:t xml:space="preserve">ode poslovanja </w:t>
      </w:r>
      <w:r w:rsidR="0059665F">
        <w:rPr>
          <w:rFonts w:ascii="Times New Roman" w:eastAsia="Calibri" w:hAnsi="Times New Roman" w:cs="Times New Roman"/>
          <w:sz w:val="24"/>
          <w:szCs w:val="24"/>
        </w:rPr>
        <w:t>iznose</w:t>
      </w:r>
      <w:r w:rsidR="005979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FF4">
        <w:rPr>
          <w:rFonts w:ascii="Times New Roman" w:eastAsia="Calibri" w:hAnsi="Times New Roman" w:cs="Times New Roman"/>
          <w:sz w:val="24"/>
          <w:szCs w:val="24"/>
        </w:rPr>
        <w:t>1.940.508,23</w:t>
      </w:r>
      <w:r w:rsidR="00742012">
        <w:rPr>
          <w:rFonts w:ascii="Times New Roman" w:eastAsia="Calibri" w:hAnsi="Times New Roman" w:cs="Times New Roman"/>
          <w:sz w:val="24"/>
          <w:szCs w:val="24"/>
        </w:rPr>
        <w:t xml:space="preserve"> EUR,</w:t>
      </w:r>
      <w:r w:rsidR="002B6BE5">
        <w:rPr>
          <w:rFonts w:ascii="Times New Roman" w:eastAsia="Calibri" w:hAnsi="Times New Roman" w:cs="Times New Roman"/>
          <w:sz w:val="24"/>
          <w:szCs w:val="24"/>
        </w:rPr>
        <w:t xml:space="preserve"> obveze za nabavu nefinancijske imovine </w:t>
      </w:r>
      <w:r w:rsidR="0059665F">
        <w:rPr>
          <w:rFonts w:ascii="Times New Roman" w:eastAsia="Calibri" w:hAnsi="Times New Roman" w:cs="Times New Roman"/>
          <w:sz w:val="24"/>
          <w:szCs w:val="24"/>
        </w:rPr>
        <w:t>iznose</w:t>
      </w:r>
      <w:r w:rsidR="002B6B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FF4">
        <w:rPr>
          <w:rFonts w:ascii="Times New Roman" w:eastAsia="Calibri" w:hAnsi="Times New Roman" w:cs="Times New Roman"/>
          <w:sz w:val="24"/>
          <w:szCs w:val="24"/>
        </w:rPr>
        <w:t>87.216,60</w:t>
      </w:r>
      <w:r w:rsidR="002B6BE5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="0059665F">
        <w:rPr>
          <w:rFonts w:ascii="Times New Roman" w:eastAsia="Calibri" w:hAnsi="Times New Roman" w:cs="Times New Roman"/>
          <w:sz w:val="24"/>
          <w:szCs w:val="24"/>
        </w:rPr>
        <w:t xml:space="preserve">, dok </w:t>
      </w:r>
      <w:r w:rsidR="00616F0C">
        <w:rPr>
          <w:rFonts w:ascii="Times New Roman" w:eastAsia="Calibri" w:hAnsi="Times New Roman" w:cs="Times New Roman"/>
          <w:sz w:val="24"/>
          <w:szCs w:val="24"/>
        </w:rPr>
        <w:t>nedospj</w:t>
      </w:r>
      <w:r w:rsidR="005979EB">
        <w:rPr>
          <w:rFonts w:ascii="Times New Roman" w:eastAsia="Calibri" w:hAnsi="Times New Roman" w:cs="Times New Roman"/>
          <w:sz w:val="24"/>
          <w:szCs w:val="24"/>
        </w:rPr>
        <w:t>e</w:t>
      </w:r>
      <w:r w:rsidR="00616F0C">
        <w:rPr>
          <w:rFonts w:ascii="Times New Roman" w:eastAsia="Calibri" w:hAnsi="Times New Roman" w:cs="Times New Roman"/>
          <w:sz w:val="24"/>
          <w:szCs w:val="24"/>
        </w:rPr>
        <w:t xml:space="preserve">le obveze za financijsku imovinu </w:t>
      </w:r>
      <w:r w:rsidR="005979EB">
        <w:rPr>
          <w:rFonts w:ascii="Times New Roman" w:eastAsia="Calibri" w:hAnsi="Times New Roman" w:cs="Times New Roman"/>
          <w:sz w:val="24"/>
          <w:szCs w:val="24"/>
        </w:rPr>
        <w:t xml:space="preserve">iznose </w:t>
      </w:r>
      <w:r w:rsidR="003F0FF4">
        <w:rPr>
          <w:rFonts w:ascii="Times New Roman" w:eastAsia="Calibri" w:hAnsi="Times New Roman" w:cs="Times New Roman"/>
          <w:sz w:val="24"/>
          <w:szCs w:val="24"/>
        </w:rPr>
        <w:t xml:space="preserve">2.955.541,78 </w:t>
      </w:r>
      <w:r w:rsidR="00616F0C">
        <w:rPr>
          <w:rFonts w:ascii="Times New Roman" w:eastAsia="Calibri" w:hAnsi="Times New Roman" w:cs="Times New Roman"/>
          <w:sz w:val="24"/>
          <w:szCs w:val="24"/>
        </w:rPr>
        <w:t>EUR.</w:t>
      </w:r>
    </w:p>
    <w:p w:rsidR="00616F0C" w:rsidRDefault="00616F0C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9246B" w:rsidRDefault="00F9246B" w:rsidP="00F92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246B">
        <w:rPr>
          <w:rFonts w:ascii="Times New Roman" w:eastAsia="Calibri" w:hAnsi="Times New Roman" w:cs="Times New Roman"/>
          <w:b/>
          <w:sz w:val="24"/>
          <w:szCs w:val="24"/>
        </w:rPr>
        <w:t>Bilješke uz izvještaj o EU sredstvima</w:t>
      </w:r>
    </w:p>
    <w:p w:rsidR="00F9246B" w:rsidRDefault="00F9246B" w:rsidP="00F9246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48C9" w:rsidRPr="00342744" w:rsidRDefault="008348C9" w:rsidP="008348C9">
      <w:pPr>
        <w:rPr>
          <w:rFonts w:ascii="Times New Roman" w:hAnsi="Times New Roman" w:cs="Times New Roman"/>
          <w:sz w:val="24"/>
          <w:szCs w:val="24"/>
        </w:rPr>
      </w:pPr>
      <w:r w:rsidRPr="00342744">
        <w:rPr>
          <w:rFonts w:ascii="Times New Roman" w:hAnsi="Times New Roman" w:cs="Times New Roman"/>
          <w:sz w:val="24"/>
          <w:szCs w:val="24"/>
        </w:rPr>
        <w:t>U okviru izvora 563 provodimo sljedeće projekte:</w:t>
      </w:r>
    </w:p>
    <w:p w:rsidR="008348C9" w:rsidRPr="00342744" w:rsidRDefault="008348C9" w:rsidP="008348C9">
      <w:pPr>
        <w:jc w:val="both"/>
        <w:rPr>
          <w:rFonts w:ascii="Times New Roman" w:hAnsi="Times New Roman" w:cs="Times New Roman"/>
          <w:sz w:val="24"/>
          <w:szCs w:val="24"/>
        </w:rPr>
      </w:pPr>
      <w:r w:rsidRPr="00342744">
        <w:rPr>
          <w:rFonts w:ascii="Times New Roman" w:hAnsi="Times New Roman" w:cs="Times New Roman"/>
          <w:sz w:val="24"/>
          <w:szCs w:val="24"/>
        </w:rPr>
        <w:t>1. Carbon Farming CE – Development of carbon farming in Central Europe iz programa Europske teritorijalne suradnje kroz Interreg Central Europe Co-founded by European Union, upravljačko tijelo iz inozemstva;</w:t>
      </w:r>
    </w:p>
    <w:p w:rsidR="008348C9" w:rsidRPr="00342744" w:rsidRDefault="008348C9" w:rsidP="008348C9">
      <w:pPr>
        <w:jc w:val="both"/>
        <w:rPr>
          <w:rFonts w:ascii="Times New Roman" w:hAnsi="Times New Roman" w:cs="Times New Roman"/>
          <w:sz w:val="24"/>
          <w:szCs w:val="24"/>
        </w:rPr>
      </w:pPr>
      <w:r w:rsidRPr="00342744">
        <w:rPr>
          <w:rFonts w:ascii="Times New Roman" w:hAnsi="Times New Roman" w:cs="Times New Roman"/>
          <w:sz w:val="24"/>
          <w:szCs w:val="24"/>
        </w:rPr>
        <w:t xml:space="preserve">2. New Emerging Technologies For Digitalized INnovative Agricultural </w:t>
      </w:r>
      <w:r>
        <w:rPr>
          <w:rFonts w:ascii="Times New Roman" w:hAnsi="Times New Roman" w:cs="Times New Roman"/>
          <w:sz w:val="24"/>
          <w:szCs w:val="24"/>
        </w:rPr>
        <w:t>Research</w:t>
      </w:r>
      <w:r w:rsidRPr="00342744">
        <w:rPr>
          <w:rFonts w:ascii="Times New Roman" w:hAnsi="Times New Roman" w:cs="Times New Roman"/>
          <w:sz w:val="24"/>
          <w:szCs w:val="24"/>
        </w:rPr>
        <w:t xml:space="preserve"> (NET4DINAR), Interreg VI-A IPA Programme Croatia-Serbia 2021-2027, upravljačko tijelo  Ministarstvo regionalnoga razvoja i EU fondova Republike Hrvatske.</w:t>
      </w:r>
    </w:p>
    <w:p w:rsidR="008348C9" w:rsidRPr="00342744" w:rsidRDefault="008348C9" w:rsidP="008348C9">
      <w:pPr>
        <w:jc w:val="both"/>
        <w:rPr>
          <w:rFonts w:ascii="Times New Roman" w:hAnsi="Times New Roman" w:cs="Times New Roman"/>
          <w:sz w:val="24"/>
          <w:szCs w:val="24"/>
        </w:rPr>
      </w:pPr>
      <w:r w:rsidRPr="00342744">
        <w:rPr>
          <w:rFonts w:ascii="Times New Roman" w:hAnsi="Times New Roman" w:cs="Times New Roman"/>
          <w:sz w:val="24"/>
          <w:szCs w:val="24"/>
        </w:rPr>
        <w:t>U okviru izvora 565 provodimo sljedeće projekte:</w:t>
      </w:r>
    </w:p>
    <w:p w:rsidR="008348C9" w:rsidRPr="00342744" w:rsidRDefault="008348C9" w:rsidP="008348C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2744">
        <w:rPr>
          <w:rFonts w:ascii="Times New Roman" w:hAnsi="Times New Roman" w:cs="Times New Roman"/>
          <w:sz w:val="24"/>
          <w:szCs w:val="24"/>
        </w:rPr>
        <w:t xml:space="preserve">1. </w:t>
      </w:r>
      <w:r w:rsidRPr="00342744">
        <w:rPr>
          <w:rFonts w:ascii="Times New Roman" w:hAnsi="Times New Roman" w:cs="Times New Roman"/>
          <w:bCs/>
          <w:sz w:val="24"/>
          <w:szCs w:val="24"/>
        </w:rPr>
        <w:t xml:space="preserve">Intervencija 70.05. Potpora za očuvanje, održivo korištenje i razvoj genetskih izvora u       poljoprivredi; </w:t>
      </w:r>
    </w:p>
    <w:p w:rsidR="008348C9" w:rsidRPr="00342744" w:rsidRDefault="008348C9" w:rsidP="00834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744">
        <w:rPr>
          <w:rFonts w:ascii="Times New Roman" w:hAnsi="Times New Roman" w:cs="Times New Roman"/>
          <w:sz w:val="24"/>
          <w:szCs w:val="24"/>
        </w:rPr>
        <w:t xml:space="preserve">2. Intervencija 76.01. Osiguranje poljoprivredne proizvodnje; </w:t>
      </w:r>
    </w:p>
    <w:p w:rsidR="008348C9" w:rsidRPr="00342744" w:rsidRDefault="008348C9" w:rsidP="008348C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2744">
        <w:rPr>
          <w:rFonts w:ascii="Times New Roman" w:hAnsi="Times New Roman" w:cs="Times New Roman"/>
          <w:sz w:val="24"/>
          <w:szCs w:val="24"/>
        </w:rPr>
        <w:t xml:space="preserve">3. Intervencija 77.03 </w:t>
      </w:r>
      <w:r w:rsidRPr="00342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Potpora za EIP operativne skupine – projekt Primjena mikroorganizama za povećanje produktivnosti u voćarstvu i vinogradarstvu (AGRIMICROBALANCE);</w:t>
      </w:r>
    </w:p>
    <w:p w:rsidR="008348C9" w:rsidRPr="00342744" w:rsidRDefault="008348C9" w:rsidP="008348C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2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4. Podmjera 4.1. Potpora za ulaganja u poljoprivredna gospodarstva. </w:t>
      </w:r>
    </w:p>
    <w:p w:rsidR="008348C9" w:rsidRPr="00342744" w:rsidRDefault="008348C9" w:rsidP="008348C9">
      <w:pPr>
        <w:jc w:val="both"/>
        <w:rPr>
          <w:rFonts w:ascii="Times New Roman" w:hAnsi="Times New Roman" w:cs="Times New Roman"/>
          <w:sz w:val="24"/>
          <w:szCs w:val="24"/>
        </w:rPr>
      </w:pPr>
      <w:r w:rsidRPr="00342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Isplatitelj sredstava po ovim projektima je </w:t>
      </w:r>
      <w:r w:rsidRPr="00342744">
        <w:rPr>
          <w:rFonts w:ascii="Times New Roman" w:hAnsi="Times New Roman" w:cs="Times New Roman"/>
          <w:sz w:val="24"/>
          <w:szCs w:val="24"/>
        </w:rPr>
        <w:t>Agencija za plaćanja u poljoprivredi, ribarstvu i ruralnom razvoju (APPRRR).</w:t>
      </w:r>
    </w:p>
    <w:p w:rsidR="00945C8B" w:rsidRPr="00945C8B" w:rsidRDefault="008348C9" w:rsidP="00945C8B">
      <w:pPr>
        <w:jc w:val="both"/>
        <w:rPr>
          <w:rFonts w:ascii="Times New Roman" w:hAnsi="Times New Roman" w:cs="Times New Roman"/>
          <w:sz w:val="24"/>
          <w:szCs w:val="24"/>
        </w:rPr>
      </w:pPr>
      <w:r w:rsidRPr="00342744">
        <w:rPr>
          <w:rFonts w:ascii="Times New Roman" w:hAnsi="Times New Roman" w:cs="Times New Roman"/>
          <w:sz w:val="24"/>
          <w:szCs w:val="24"/>
        </w:rPr>
        <w:t>U okviru izvora 581 provodimo kompetitivne interne znanstvene projekte iz sredstava Nacionalnog plana oporavka i otpornosti 2021. – 2026. (NPOO) u okviru Programskog ugovora koji je sklopljen s Ministarstvom znanosti, obrazovanja i mladih u prosincu 2023. godine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342744">
        <w:rPr>
          <w:rFonts w:ascii="Times New Roman" w:hAnsi="Times New Roman" w:cs="Times New Roman"/>
          <w:sz w:val="24"/>
          <w:szCs w:val="24"/>
        </w:rPr>
        <w:t xml:space="preserve"> kojim je utvrđeno financiranje osnovne, razvojne i izvedbene proračunske komponente  Instituta za razdoblje od 1. siječnja 2024. do 31. prosinca 2027. godine.</w:t>
      </w:r>
    </w:p>
    <w:p w:rsidR="008348C9" w:rsidRPr="00342744" w:rsidRDefault="008348C9" w:rsidP="008348C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4274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U izvještaj nismo unijeli projekt kojeg ostvarujemo iz izvora 54 Europski poljoprivredni jamstveni fond (EAGF) jer nije omogućen unos za taj izvor. </w:t>
      </w:r>
    </w:p>
    <w:p w:rsidR="008348C9" w:rsidRPr="00342744" w:rsidRDefault="008348C9" w:rsidP="00834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7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Tu ostvarujemo </w:t>
      </w:r>
      <w:r w:rsidRPr="00342744">
        <w:rPr>
          <w:rFonts w:ascii="Times New Roman" w:hAnsi="Times New Roman" w:cs="Times New Roman"/>
          <w:sz w:val="24"/>
          <w:szCs w:val="24"/>
        </w:rPr>
        <w:t>Potporu u poljoprivredi - izravna plaćanja (osnovno plaćanje, zeleno plaćanje i  preraspodijeljeno plaćanje).</w:t>
      </w:r>
      <w:r>
        <w:rPr>
          <w:rFonts w:ascii="Times New Roman" w:hAnsi="Times New Roman" w:cs="Times New Roman"/>
          <w:sz w:val="24"/>
          <w:szCs w:val="24"/>
        </w:rPr>
        <w:t xml:space="preserve"> Isplatitelj sredstava je APPRRR.</w:t>
      </w:r>
    </w:p>
    <w:p w:rsidR="008348C9" w:rsidRDefault="008348C9" w:rsidP="008348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2744">
        <w:rPr>
          <w:rFonts w:ascii="Times New Roman" w:hAnsi="Times New Roman" w:cs="Times New Roman"/>
          <w:sz w:val="24"/>
          <w:szCs w:val="24"/>
        </w:rPr>
        <w:lastRenderedPageBreak/>
        <w:t>Svake godine na temelju površina koje obrađuje Institut ostvaruje ovu potporu podnošenjem Jedinstvenog zahtjeva za izravna plaćanja APPRRR-u. U 2025. godini smo iz izvora 54 imali prihode u iznosu od 299.040,72 €. U istom iznosu su ostvareni i rashodi.</w:t>
      </w:r>
    </w:p>
    <w:p w:rsidR="008348C9" w:rsidRDefault="008348C9" w:rsidP="008348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C8B" w:rsidRDefault="008348C9" w:rsidP="008348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Sukladno članku 15. Pravilnika o financijskom izvještavanju navodimo popis ugovornih odnosa i popis sudskih sporova u tijeku</w:t>
      </w:r>
    </w:p>
    <w:p w:rsidR="008348C9" w:rsidRDefault="008348C9" w:rsidP="008348C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D4A" w:rsidRPr="001628EC" w:rsidRDefault="008348C9" w:rsidP="00821D4A">
      <w:pPr>
        <w:pStyle w:val="StandardWeb"/>
        <w:jc w:val="both"/>
      </w:pPr>
      <w:r>
        <w:rPr>
          <w:rFonts w:eastAsia="Calibri"/>
          <w:lang w:eastAsia="en-US"/>
        </w:rPr>
        <w:t>B</w:t>
      </w:r>
      <w:r w:rsidR="00821D4A" w:rsidRPr="001628EC">
        <w:t>ilješka 1. Popis ugovornih odnosa</w:t>
      </w:r>
    </w:p>
    <w:tbl>
      <w:tblPr>
        <w:tblStyle w:val="Reetkatablice"/>
        <w:tblpPr w:leftFromText="180" w:rightFromText="180" w:vertAnchor="text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542"/>
        <w:gridCol w:w="1029"/>
        <w:gridCol w:w="1005"/>
        <w:gridCol w:w="963"/>
        <w:gridCol w:w="992"/>
        <w:gridCol w:w="1418"/>
        <w:gridCol w:w="992"/>
        <w:gridCol w:w="992"/>
        <w:gridCol w:w="993"/>
      </w:tblGrid>
      <w:tr w:rsidR="00821D4A" w:rsidRPr="001628EC" w:rsidTr="000F2D19">
        <w:trPr>
          <w:trHeight w:val="568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Red.br.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Datum izdavanja jamstva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Instrument osiguranja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Iznos danog jamstva u kn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Iznos danog jamstva u EUR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Primatelj jamstva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Namjena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Dokument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Napomena</w:t>
            </w:r>
          </w:p>
        </w:tc>
      </w:tr>
      <w:tr w:rsidR="00821D4A" w:rsidRPr="001628EC" w:rsidTr="000F2D19">
        <w:trPr>
          <w:trHeight w:val="568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08.11.2009.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6E64ED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821D4A">
              <w:rPr>
                <w:sz w:val="16"/>
                <w:szCs w:val="16"/>
              </w:rPr>
              <w:t>50.000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Europa Mil Biogorivo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21D4A" w:rsidRPr="001628EC" w:rsidTr="000F2D19">
        <w:trPr>
          <w:trHeight w:val="568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01.12.2009.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100.000</w:t>
            </w:r>
          </w:p>
        </w:tc>
        <w:tc>
          <w:tcPr>
            <w:tcW w:w="992" w:type="dxa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HEP Opskrba d.o.o.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</w:p>
        </w:tc>
      </w:tr>
      <w:tr w:rsidR="00821D4A" w:rsidRPr="001628EC" w:rsidTr="000F2D19">
        <w:trPr>
          <w:trHeight w:val="568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23.11.2010.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200.000</w:t>
            </w:r>
          </w:p>
        </w:tc>
        <w:tc>
          <w:tcPr>
            <w:tcW w:w="992" w:type="dxa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INA d.d.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 INA kartice</w:t>
            </w:r>
          </w:p>
        </w:tc>
      </w:tr>
      <w:tr w:rsidR="00821D4A" w:rsidRPr="001628EC" w:rsidTr="000F2D19">
        <w:trPr>
          <w:trHeight w:val="568"/>
        </w:trPr>
        <w:tc>
          <w:tcPr>
            <w:tcW w:w="542" w:type="dxa"/>
            <w:vAlign w:val="center"/>
          </w:tcPr>
          <w:p w:rsidR="00821D4A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23.09.2020.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200.000</w:t>
            </w:r>
          </w:p>
        </w:tc>
        <w:tc>
          <w:tcPr>
            <w:tcW w:w="992" w:type="dxa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BASF Croatia d.o.o.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-</w:t>
            </w:r>
          </w:p>
        </w:tc>
      </w:tr>
      <w:tr w:rsidR="00821D4A" w:rsidRPr="001628EC" w:rsidTr="000F2D19">
        <w:trPr>
          <w:trHeight w:val="568"/>
        </w:trPr>
        <w:tc>
          <w:tcPr>
            <w:tcW w:w="542" w:type="dxa"/>
            <w:vAlign w:val="center"/>
          </w:tcPr>
          <w:p w:rsidR="00821D4A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03.05.2021.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500.000</w:t>
            </w:r>
          </w:p>
        </w:tc>
        <w:tc>
          <w:tcPr>
            <w:tcW w:w="992" w:type="dxa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BASF Croatia d.o.o.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-</w:t>
            </w:r>
          </w:p>
        </w:tc>
      </w:tr>
      <w:tr w:rsidR="00821D4A" w:rsidRPr="001628EC" w:rsidTr="000F2D19">
        <w:trPr>
          <w:trHeight w:val="562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06.10.2023.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150.000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BELJE PLUS d.o.o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 sjemensku proizvodnju</w:t>
            </w:r>
          </w:p>
        </w:tc>
      </w:tr>
      <w:tr w:rsidR="00821D4A" w:rsidRPr="001628EC" w:rsidTr="000F2D19">
        <w:trPr>
          <w:trHeight w:val="748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06.10.2023.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150.000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BELJE PLUS d.o.o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 sjemensku proizvodnju</w:t>
            </w:r>
          </w:p>
        </w:tc>
      </w:tr>
      <w:tr w:rsidR="00821D4A" w:rsidRPr="001628EC" w:rsidTr="000F2D19">
        <w:trPr>
          <w:trHeight w:val="524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06.10.2023.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150.000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BELJE PLUS d.o.o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 sjemensku proizvodnju</w:t>
            </w:r>
          </w:p>
        </w:tc>
      </w:tr>
      <w:tr w:rsidR="00821D4A" w:rsidRPr="001628EC" w:rsidTr="000F2D19">
        <w:trPr>
          <w:trHeight w:val="561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20.10.2023.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150.000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PIK VINKOVCI PLUS d.o.o.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 sjemensku proizvodnju</w:t>
            </w:r>
          </w:p>
        </w:tc>
      </w:tr>
      <w:tr w:rsidR="00821D4A" w:rsidRPr="001628EC" w:rsidTr="000F2D19">
        <w:trPr>
          <w:trHeight w:val="516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20.10.2023.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20.000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PIK VINKOVCI PLUS d.o.o.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 sjemensku proizvodnju</w:t>
            </w:r>
          </w:p>
        </w:tc>
      </w:tr>
      <w:tr w:rsidR="00821D4A" w:rsidRPr="001628EC" w:rsidTr="000F2D19">
        <w:trPr>
          <w:trHeight w:val="518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20.10.2023.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20.000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PIK VINKOVCI PLUS d.o.o.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 sjemensku proizvodnju</w:t>
            </w:r>
          </w:p>
        </w:tc>
      </w:tr>
      <w:tr w:rsidR="00821D4A" w:rsidRPr="001628EC" w:rsidTr="000F2D19">
        <w:trPr>
          <w:trHeight w:val="518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20.10.2023.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10.000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PIK VINKOVCI PLUS d.o.o.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 sjemensku proizvodnju</w:t>
            </w:r>
          </w:p>
        </w:tc>
      </w:tr>
      <w:tr w:rsidR="00821D4A" w:rsidRPr="001628EC" w:rsidTr="000F2D19">
        <w:trPr>
          <w:trHeight w:val="518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22.10.2024.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150.000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BELJE PLUS d.o.o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 sjemensku proizvodnju</w:t>
            </w:r>
          </w:p>
        </w:tc>
      </w:tr>
      <w:tr w:rsidR="00821D4A" w:rsidRPr="001628EC" w:rsidTr="000F2D19">
        <w:trPr>
          <w:trHeight w:val="555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22.10.2024.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75.000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BELJE PLUS d.o.o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 sjemensku proizvodnju</w:t>
            </w:r>
          </w:p>
        </w:tc>
      </w:tr>
      <w:tr w:rsidR="00821D4A" w:rsidRPr="001628EC" w:rsidTr="000F2D19">
        <w:trPr>
          <w:trHeight w:val="555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23.04.2025.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AUTOSLAVONIJA D.D.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21D4A" w:rsidRPr="001628EC" w:rsidTr="000F2D19">
        <w:trPr>
          <w:trHeight w:val="555"/>
        </w:trPr>
        <w:tc>
          <w:tcPr>
            <w:tcW w:w="54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</w:t>
            </w:r>
          </w:p>
        </w:tc>
        <w:tc>
          <w:tcPr>
            <w:tcW w:w="1029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25.09.2025.</w:t>
            </w:r>
          </w:p>
        </w:tc>
        <w:tc>
          <w:tcPr>
            <w:tcW w:w="1005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Zadužnica</w:t>
            </w:r>
          </w:p>
        </w:tc>
        <w:tc>
          <w:tcPr>
            <w:tcW w:w="96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4.000.000</w:t>
            </w:r>
          </w:p>
        </w:tc>
        <w:tc>
          <w:tcPr>
            <w:tcW w:w="1418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ZAGREBAČKA BANKA D.D.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Osiguranje plaćanja</w:t>
            </w:r>
          </w:p>
        </w:tc>
        <w:tc>
          <w:tcPr>
            <w:tcW w:w="992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Ugovor</w:t>
            </w:r>
          </w:p>
        </w:tc>
        <w:tc>
          <w:tcPr>
            <w:tcW w:w="993" w:type="dxa"/>
            <w:vAlign w:val="center"/>
          </w:tcPr>
          <w:p w:rsidR="00821D4A" w:rsidRPr="007258B2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7258B2">
              <w:rPr>
                <w:sz w:val="16"/>
                <w:szCs w:val="16"/>
              </w:rPr>
              <w:t>Kratkoročni revolving kredit</w:t>
            </w:r>
          </w:p>
        </w:tc>
      </w:tr>
    </w:tbl>
    <w:p w:rsidR="00821D4A" w:rsidRDefault="00821D4A" w:rsidP="00821D4A">
      <w:pPr>
        <w:pStyle w:val="StandardWeb"/>
        <w:jc w:val="both"/>
      </w:pPr>
    </w:p>
    <w:p w:rsidR="00945C8B" w:rsidRPr="001628EC" w:rsidRDefault="00945C8B" w:rsidP="00821D4A">
      <w:pPr>
        <w:pStyle w:val="StandardWeb"/>
        <w:jc w:val="both"/>
      </w:pPr>
    </w:p>
    <w:p w:rsidR="00BA2A41" w:rsidRDefault="00821D4A" w:rsidP="00821D4A">
      <w:pPr>
        <w:pStyle w:val="StandardWeb"/>
        <w:jc w:val="both"/>
      </w:pPr>
      <w:r w:rsidRPr="001628EC">
        <w:lastRenderedPageBreak/>
        <w:t xml:space="preserve">Bilješka 2. Popis </w:t>
      </w:r>
      <w:r>
        <w:t>sudskih sporova u tijeku 2024. godine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640"/>
        <w:gridCol w:w="872"/>
        <w:gridCol w:w="1341"/>
        <w:gridCol w:w="936"/>
        <w:gridCol w:w="1175"/>
        <w:gridCol w:w="1531"/>
        <w:gridCol w:w="1259"/>
      </w:tblGrid>
      <w:tr w:rsidR="00821D4A" w:rsidTr="0036509F">
        <w:tc>
          <w:tcPr>
            <w:tcW w:w="534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1628EC">
              <w:rPr>
                <w:sz w:val="16"/>
                <w:szCs w:val="16"/>
              </w:rPr>
              <w:t>Red.</w:t>
            </w:r>
            <w:r>
              <w:rPr>
                <w:sz w:val="16"/>
                <w:szCs w:val="16"/>
              </w:rPr>
              <w:t>b</w:t>
            </w:r>
            <w:r w:rsidRPr="001628EC">
              <w:rPr>
                <w:sz w:val="16"/>
                <w:szCs w:val="16"/>
              </w:rPr>
              <w:t>r.</w:t>
            </w:r>
          </w:p>
        </w:tc>
        <w:tc>
          <w:tcPr>
            <w:tcW w:w="1640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CF42BF">
              <w:rPr>
                <w:sz w:val="16"/>
                <w:szCs w:val="16"/>
              </w:rPr>
              <w:t>Tužitelj</w:t>
            </w:r>
          </w:p>
        </w:tc>
        <w:tc>
          <w:tcPr>
            <w:tcW w:w="872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CF42BF">
              <w:rPr>
                <w:sz w:val="16"/>
                <w:szCs w:val="16"/>
              </w:rPr>
              <w:t>Tuženik</w:t>
            </w:r>
          </w:p>
        </w:tc>
        <w:tc>
          <w:tcPr>
            <w:tcW w:w="1341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CF42BF">
              <w:rPr>
                <w:sz w:val="16"/>
                <w:szCs w:val="16"/>
              </w:rPr>
              <w:t>Sažeti opis prirode spora</w:t>
            </w:r>
          </w:p>
        </w:tc>
        <w:tc>
          <w:tcPr>
            <w:tcW w:w="936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CF42BF">
              <w:rPr>
                <w:sz w:val="16"/>
                <w:szCs w:val="16"/>
              </w:rPr>
              <w:t>Iznos glavnice</w:t>
            </w:r>
          </w:p>
        </w:tc>
        <w:tc>
          <w:tcPr>
            <w:tcW w:w="1175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CF42BF">
              <w:rPr>
                <w:sz w:val="16"/>
                <w:szCs w:val="16"/>
              </w:rPr>
              <w:t>Procjena financijskog učinka</w:t>
            </w:r>
          </w:p>
        </w:tc>
        <w:tc>
          <w:tcPr>
            <w:tcW w:w="1531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CF42BF">
              <w:rPr>
                <w:sz w:val="16"/>
                <w:szCs w:val="16"/>
              </w:rPr>
              <w:t>Procijenjeno vrijeme</w:t>
            </w:r>
            <w:r>
              <w:rPr>
                <w:sz w:val="16"/>
                <w:szCs w:val="16"/>
              </w:rPr>
              <w:t xml:space="preserve"> </w:t>
            </w:r>
            <w:r w:rsidRPr="00CF42BF">
              <w:rPr>
                <w:sz w:val="16"/>
                <w:szCs w:val="16"/>
              </w:rPr>
              <w:t>odljeva ili priljeva sredstava</w:t>
            </w:r>
          </w:p>
        </w:tc>
        <w:tc>
          <w:tcPr>
            <w:tcW w:w="1259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 w:rsidRPr="00CF42BF">
              <w:rPr>
                <w:sz w:val="16"/>
                <w:szCs w:val="16"/>
              </w:rPr>
              <w:t>Početak sudskog spora</w:t>
            </w:r>
          </w:p>
        </w:tc>
      </w:tr>
      <w:tr w:rsidR="00821D4A" w:rsidTr="0036509F">
        <w:tc>
          <w:tcPr>
            <w:tcW w:w="534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CF42BF">
              <w:rPr>
                <w:sz w:val="16"/>
                <w:szCs w:val="16"/>
              </w:rPr>
              <w:t>.</w:t>
            </w:r>
          </w:p>
        </w:tc>
        <w:tc>
          <w:tcPr>
            <w:tcW w:w="1640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Fizička osoba</w:t>
            </w:r>
          </w:p>
        </w:tc>
        <w:tc>
          <w:tcPr>
            <w:tcW w:w="872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PIO*</w:t>
            </w:r>
          </w:p>
        </w:tc>
        <w:tc>
          <w:tcPr>
            <w:tcW w:w="1341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Utvrđivanje nezakonite odluke o otkazu</w:t>
            </w:r>
          </w:p>
        </w:tc>
        <w:tc>
          <w:tcPr>
            <w:tcW w:w="936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175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531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?</w:t>
            </w:r>
          </w:p>
        </w:tc>
        <w:tc>
          <w:tcPr>
            <w:tcW w:w="1259" w:type="dxa"/>
            <w:vAlign w:val="center"/>
          </w:tcPr>
          <w:p w:rsidR="00821D4A" w:rsidRPr="00CF42BF" w:rsidRDefault="00821D4A" w:rsidP="0036509F">
            <w:pPr>
              <w:pStyle w:val="StandardWeb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27.01.2020.</w:t>
            </w:r>
          </w:p>
        </w:tc>
      </w:tr>
    </w:tbl>
    <w:p w:rsidR="00821D4A" w:rsidRPr="00B27799" w:rsidRDefault="00821D4A" w:rsidP="00821D4A">
      <w:pPr>
        <w:pStyle w:val="StandardWeb"/>
        <w:rPr>
          <w:sz w:val="16"/>
          <w:szCs w:val="16"/>
        </w:rPr>
      </w:pPr>
      <w:r w:rsidRPr="000B26D5">
        <w:rPr>
          <w:sz w:val="16"/>
          <w:szCs w:val="16"/>
        </w:rPr>
        <w:t>*Poljoprivredni institut Osijek</w:t>
      </w:r>
    </w:p>
    <w:p w:rsidR="00821D4A" w:rsidRDefault="00821D4A" w:rsidP="00BA2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969E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Spor protiv P</w:t>
      </w:r>
      <w:r w:rsidR="00BA2A41">
        <w:rPr>
          <w:rFonts w:ascii="Times New Roman" w:eastAsia="Calibri" w:hAnsi="Times New Roman" w:cs="Times New Roman"/>
          <w:sz w:val="24"/>
          <w:szCs w:val="24"/>
        </w:rPr>
        <w:t xml:space="preserve">oljoprivrednog </w:t>
      </w:r>
      <w:r w:rsidR="008C48DC">
        <w:rPr>
          <w:rFonts w:ascii="Times New Roman" w:eastAsia="Calibri" w:hAnsi="Times New Roman" w:cs="Times New Roman"/>
          <w:sz w:val="24"/>
          <w:szCs w:val="24"/>
        </w:rPr>
        <w:t>i</w:t>
      </w:r>
      <w:r w:rsidR="00BA2A41">
        <w:rPr>
          <w:rFonts w:ascii="Times New Roman" w:eastAsia="Calibri" w:hAnsi="Times New Roman" w:cs="Times New Roman"/>
          <w:sz w:val="24"/>
          <w:szCs w:val="24"/>
        </w:rPr>
        <w:t xml:space="preserve">nstituta Osijek </w:t>
      </w:r>
      <w:r>
        <w:rPr>
          <w:rFonts w:ascii="Times New Roman" w:eastAsia="Calibri" w:hAnsi="Times New Roman" w:cs="Times New Roman"/>
          <w:sz w:val="24"/>
          <w:szCs w:val="24"/>
        </w:rPr>
        <w:t>zbog utvrđivanja nezakonite odluke o otkazu:</w:t>
      </w:r>
    </w:p>
    <w:p w:rsidR="00821D4A" w:rsidRDefault="00821D4A" w:rsidP="00BA2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održano prvo pripremno ročište </w:t>
      </w:r>
      <w:r w:rsidR="006D50F1" w:rsidRPr="006D50F1">
        <w:rPr>
          <w:rFonts w:ascii="Times New Roman" w:eastAsia="Calibri" w:hAnsi="Times New Roman" w:cs="Times New Roman"/>
          <w:sz w:val="24"/>
          <w:szCs w:val="24"/>
        </w:rPr>
        <w:t>6. listopada 2020.</w:t>
      </w:r>
    </w:p>
    <w:p w:rsidR="00821D4A" w:rsidRDefault="00821D4A" w:rsidP="00BA2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drugo pripremno ročište zbog Covid 19 zakazano za </w:t>
      </w:r>
      <w:r w:rsidR="006D50F1" w:rsidRPr="006D50F1">
        <w:rPr>
          <w:rFonts w:ascii="Times New Roman" w:eastAsia="Calibri" w:hAnsi="Times New Roman" w:cs="Times New Roman"/>
          <w:sz w:val="24"/>
          <w:szCs w:val="24"/>
        </w:rPr>
        <w:t>9. travnja 2021</w:t>
      </w:r>
      <w:r w:rsidR="006D50F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21D4A" w:rsidRDefault="00821D4A" w:rsidP="00BA2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održano ročište dana </w:t>
      </w:r>
      <w:r w:rsidR="006D50F1" w:rsidRPr="006D50F1">
        <w:rPr>
          <w:rFonts w:ascii="Times New Roman" w:eastAsia="Calibri" w:hAnsi="Times New Roman" w:cs="Times New Roman"/>
          <w:sz w:val="24"/>
          <w:szCs w:val="24"/>
        </w:rPr>
        <w:t>29. listopada 2021.</w:t>
      </w:r>
      <w:r w:rsidR="006D5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te doneseno Rješenje kojim se tužba u cijelosti povlači,</w:t>
      </w:r>
    </w:p>
    <w:p w:rsidR="00821D4A" w:rsidRDefault="00821D4A" w:rsidP="00BA2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uložena žalba na Rješenje te je doneseno Rješenje kojim se ono ukida i predmet vraća na</w:t>
      </w:r>
      <w:r w:rsidR="00BA2A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ponovni postupak</w:t>
      </w:r>
    </w:p>
    <w:p w:rsidR="00821D4A" w:rsidRDefault="00821D4A" w:rsidP="00BA2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za dan </w:t>
      </w:r>
      <w:r w:rsidR="006D50F1" w:rsidRPr="006D50F1">
        <w:rPr>
          <w:rFonts w:ascii="Times New Roman" w:eastAsia="Calibri" w:hAnsi="Times New Roman" w:cs="Times New Roman"/>
          <w:sz w:val="24"/>
          <w:szCs w:val="24"/>
        </w:rPr>
        <w:t>7. veljače 2023.</w:t>
      </w:r>
      <w:r w:rsidR="006D5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zakazano je ponovno ročište u radnom sporu</w:t>
      </w:r>
      <w:r w:rsidR="00BA2A4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821D4A" w:rsidRDefault="00821D4A" w:rsidP="00BA2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na dan </w:t>
      </w:r>
      <w:r w:rsidR="006D50F1" w:rsidRPr="006D50F1">
        <w:rPr>
          <w:rFonts w:ascii="Times New Roman" w:eastAsia="Calibri" w:hAnsi="Times New Roman" w:cs="Times New Roman"/>
          <w:sz w:val="24"/>
          <w:szCs w:val="24"/>
        </w:rPr>
        <w:t>6. srpnja 2023.</w:t>
      </w:r>
      <w:r w:rsidR="006D5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održano je ročište u sudskom sporu,</w:t>
      </w:r>
    </w:p>
    <w:p w:rsidR="00821D4A" w:rsidRDefault="00821D4A" w:rsidP="00BA2A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na dan </w:t>
      </w:r>
      <w:r w:rsidR="006D50F1" w:rsidRPr="006D50F1">
        <w:rPr>
          <w:rFonts w:ascii="Times New Roman" w:eastAsia="Calibri" w:hAnsi="Times New Roman" w:cs="Times New Roman"/>
          <w:sz w:val="24"/>
          <w:szCs w:val="24"/>
        </w:rPr>
        <w:t>29. siječnja 2024.</w:t>
      </w:r>
      <w:r w:rsidR="006D50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72AC">
        <w:rPr>
          <w:rFonts w:ascii="Times New Roman" w:eastAsia="Calibri" w:hAnsi="Times New Roman" w:cs="Times New Roman"/>
          <w:sz w:val="24"/>
          <w:szCs w:val="24"/>
        </w:rPr>
        <w:t>održano je ročište u sudskom sporu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821D4A" w:rsidRDefault="00821D4A" w:rsidP="00BA2A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za dan </w:t>
      </w:r>
      <w:r w:rsidR="006D50F1" w:rsidRPr="006D50F1">
        <w:rPr>
          <w:rFonts w:ascii="Times New Roman" w:eastAsia="Calibri" w:hAnsi="Times New Roman" w:cs="Times New Roman"/>
          <w:sz w:val="24"/>
          <w:szCs w:val="24"/>
        </w:rPr>
        <w:t>15. veljače 2024.</w:t>
      </w:r>
      <w:r w:rsidRPr="006A72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zakazano je ročište u sudskom sporu,</w:t>
      </w:r>
    </w:p>
    <w:p w:rsidR="00821D4A" w:rsidRDefault="00821D4A" w:rsidP="00BA2A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na dan </w:t>
      </w:r>
      <w:r w:rsidR="000E1C79" w:rsidRPr="000E1C79">
        <w:rPr>
          <w:rFonts w:ascii="Times New Roman" w:eastAsia="Calibri" w:hAnsi="Times New Roman" w:cs="Times New Roman"/>
          <w:sz w:val="24"/>
          <w:szCs w:val="24"/>
        </w:rPr>
        <w:t>10. svibnja 2024.</w:t>
      </w:r>
      <w:r w:rsidR="000E1C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donesena je presuda,</w:t>
      </w:r>
    </w:p>
    <w:p w:rsidR="00821D4A" w:rsidRDefault="00821D4A" w:rsidP="00BA2A4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na dan </w:t>
      </w:r>
      <w:r w:rsidR="000E1C79" w:rsidRPr="000E1C79">
        <w:rPr>
          <w:rFonts w:ascii="Times New Roman" w:eastAsia="Calibri" w:hAnsi="Times New Roman" w:cs="Times New Roman"/>
          <w:sz w:val="24"/>
          <w:szCs w:val="24"/>
        </w:rPr>
        <w:t>27. svibnja 2024.</w:t>
      </w:r>
      <w:r w:rsidR="000E1C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podnesena je žalba na presudu.</w:t>
      </w:r>
    </w:p>
    <w:p w:rsidR="00821D4A" w:rsidRDefault="00821D4A" w:rsidP="00BA2A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1D4A" w:rsidRDefault="00821D4A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 može se procijeniti vrijeme završetka spora ni financijski učinak.</w:t>
      </w:r>
    </w:p>
    <w:p w:rsidR="0078306E" w:rsidRDefault="0078306E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5721" w:rsidRDefault="00065721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547C" w:rsidRDefault="0020547C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4169" w:rsidRDefault="00194169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4169" w:rsidRDefault="00194169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C8B" w:rsidRDefault="00945C8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C8B" w:rsidRDefault="00945C8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4169" w:rsidRDefault="00194169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4169" w:rsidRDefault="00194169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C8B" w:rsidRDefault="00945C8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C8B" w:rsidRDefault="00945C8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C8B" w:rsidRDefault="00945C8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C8B" w:rsidRDefault="00945C8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C8B" w:rsidRDefault="00945C8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5C8B" w:rsidRDefault="00945C8B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4169" w:rsidRDefault="00194169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4169" w:rsidRDefault="00194169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22EC" w:rsidRDefault="003722EC" w:rsidP="006606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95C80" w:rsidRDefault="00495C80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041B6" w:rsidRDefault="00C21796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Osijek, </w:t>
      </w:r>
      <w:r w:rsidR="0077452F">
        <w:rPr>
          <w:rFonts w:ascii="Times New Roman" w:eastAsia="Calibri" w:hAnsi="Times New Roman" w:cs="Times New Roman"/>
          <w:sz w:val="24"/>
          <w:szCs w:val="24"/>
        </w:rPr>
        <w:t>1</w:t>
      </w:r>
      <w:r w:rsidR="00373030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>.02.202</w:t>
      </w:r>
      <w:r w:rsidR="00443158">
        <w:rPr>
          <w:rFonts w:ascii="Times New Roman" w:eastAsia="Calibri" w:hAnsi="Times New Roman" w:cs="Times New Roman"/>
          <w:sz w:val="24"/>
          <w:szCs w:val="24"/>
        </w:rPr>
        <w:t>6.</w:t>
      </w:r>
    </w:p>
    <w:p w:rsidR="00C96107" w:rsidRDefault="00C96107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385C2F" w:rsidRDefault="00385C2F" w:rsidP="008B574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012" w:rsidRPr="001628EC" w:rsidRDefault="005001A7" w:rsidP="00D35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Suradnik u financijskoj službi</w:t>
      </w:r>
      <w:r w:rsidR="0074201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7745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742012" w:rsidRPr="001628EC">
        <w:rPr>
          <w:rFonts w:ascii="Times New Roman" w:eastAsia="Calibri" w:hAnsi="Times New Roman" w:cs="Times New Roman"/>
          <w:sz w:val="24"/>
          <w:szCs w:val="24"/>
        </w:rPr>
        <w:t>Ravnatelj</w:t>
      </w:r>
    </w:p>
    <w:p w:rsidR="0077452F" w:rsidRDefault="00D35549" w:rsidP="007745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Martina Kućina, mag.oec</w:t>
      </w:r>
      <w:r w:rsidR="007745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Prof. dr.sc.Zvonimir Zdunić, EMBA</w:t>
      </w:r>
    </w:p>
    <w:p w:rsidR="004A5C89" w:rsidRDefault="00742012" w:rsidP="007745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28EC">
        <w:rPr>
          <w:rFonts w:ascii="Times New Roman" w:eastAsia="Calibri" w:hAnsi="Times New Roman" w:cs="Times New Roman"/>
          <w:sz w:val="24"/>
          <w:szCs w:val="24"/>
        </w:rPr>
        <w:tab/>
      </w:r>
      <w:r w:rsidRPr="001628EC">
        <w:rPr>
          <w:rFonts w:ascii="Times New Roman" w:eastAsia="Calibri" w:hAnsi="Times New Roman" w:cs="Times New Roman"/>
          <w:sz w:val="24"/>
          <w:szCs w:val="24"/>
        </w:rPr>
        <w:tab/>
      </w:r>
      <w:r w:rsidRPr="001628EC">
        <w:rPr>
          <w:rFonts w:ascii="Times New Roman" w:eastAsia="Calibri" w:hAnsi="Times New Roman" w:cs="Times New Roman"/>
          <w:sz w:val="24"/>
          <w:szCs w:val="24"/>
        </w:rPr>
        <w:tab/>
      </w:r>
      <w:r w:rsidRPr="001628EC">
        <w:rPr>
          <w:rFonts w:ascii="Times New Roman" w:eastAsia="Calibri" w:hAnsi="Times New Roman" w:cs="Times New Roman"/>
          <w:sz w:val="24"/>
          <w:szCs w:val="24"/>
        </w:rPr>
        <w:tab/>
      </w:r>
      <w:r w:rsidRPr="001628EC">
        <w:rPr>
          <w:rFonts w:ascii="Times New Roman" w:eastAsia="Calibri" w:hAnsi="Times New Roman" w:cs="Times New Roman"/>
          <w:sz w:val="24"/>
          <w:szCs w:val="24"/>
        </w:rPr>
        <w:tab/>
      </w:r>
      <w:r w:rsidRPr="001628EC">
        <w:rPr>
          <w:rFonts w:ascii="Times New Roman" w:eastAsia="Calibri" w:hAnsi="Times New Roman" w:cs="Times New Roman"/>
          <w:sz w:val="24"/>
          <w:szCs w:val="24"/>
        </w:rPr>
        <w:tab/>
      </w:r>
      <w:r w:rsidRPr="001628EC">
        <w:rPr>
          <w:rFonts w:ascii="Times New Roman" w:eastAsia="Calibri" w:hAnsi="Times New Roman" w:cs="Times New Roman"/>
          <w:sz w:val="24"/>
          <w:szCs w:val="24"/>
        </w:rPr>
        <w:tab/>
      </w:r>
      <w:r w:rsidR="005C2B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</w:p>
    <w:sectPr w:rsidR="004A5C89" w:rsidSect="00A90BA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81AB3"/>
    <w:multiLevelType w:val="multilevel"/>
    <w:tmpl w:val="03BA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56"/>
    <w:rsid w:val="00006F98"/>
    <w:rsid w:val="00017DBE"/>
    <w:rsid w:val="0003095F"/>
    <w:rsid w:val="00032380"/>
    <w:rsid w:val="00053FE4"/>
    <w:rsid w:val="00065721"/>
    <w:rsid w:val="000750E9"/>
    <w:rsid w:val="000904B5"/>
    <w:rsid w:val="00090AF2"/>
    <w:rsid w:val="00093722"/>
    <w:rsid w:val="000A4BBB"/>
    <w:rsid w:val="000B26D5"/>
    <w:rsid w:val="000E1C79"/>
    <w:rsid w:val="000E1F4A"/>
    <w:rsid w:val="000F0A3E"/>
    <w:rsid w:val="000F2D19"/>
    <w:rsid w:val="000F6183"/>
    <w:rsid w:val="0011173D"/>
    <w:rsid w:val="0012610A"/>
    <w:rsid w:val="00130B09"/>
    <w:rsid w:val="00135A25"/>
    <w:rsid w:val="001628EC"/>
    <w:rsid w:val="0016560C"/>
    <w:rsid w:val="00172172"/>
    <w:rsid w:val="00181A98"/>
    <w:rsid w:val="0018395E"/>
    <w:rsid w:val="00185DFC"/>
    <w:rsid w:val="0018720D"/>
    <w:rsid w:val="00194169"/>
    <w:rsid w:val="0019572C"/>
    <w:rsid w:val="001A7214"/>
    <w:rsid w:val="001B7C5F"/>
    <w:rsid w:val="001C296B"/>
    <w:rsid w:val="001D6EE3"/>
    <w:rsid w:val="001D735D"/>
    <w:rsid w:val="001E6407"/>
    <w:rsid w:val="001F530C"/>
    <w:rsid w:val="0020547C"/>
    <w:rsid w:val="00210C99"/>
    <w:rsid w:val="00240065"/>
    <w:rsid w:val="002467F3"/>
    <w:rsid w:val="00265FC5"/>
    <w:rsid w:val="00286251"/>
    <w:rsid w:val="0029271C"/>
    <w:rsid w:val="002952DD"/>
    <w:rsid w:val="002A07D9"/>
    <w:rsid w:val="002B6BE5"/>
    <w:rsid w:val="002D6B9F"/>
    <w:rsid w:val="002E3A8A"/>
    <w:rsid w:val="002F211D"/>
    <w:rsid w:val="002F673B"/>
    <w:rsid w:val="00303140"/>
    <w:rsid w:val="0030324D"/>
    <w:rsid w:val="00315D30"/>
    <w:rsid w:val="003405B3"/>
    <w:rsid w:val="003568C0"/>
    <w:rsid w:val="00364752"/>
    <w:rsid w:val="003666A5"/>
    <w:rsid w:val="003722EC"/>
    <w:rsid w:val="00372E91"/>
    <w:rsid w:val="00373030"/>
    <w:rsid w:val="00385C2F"/>
    <w:rsid w:val="003B0CA9"/>
    <w:rsid w:val="003B5C6D"/>
    <w:rsid w:val="003C0443"/>
    <w:rsid w:val="003C703B"/>
    <w:rsid w:val="003E29FE"/>
    <w:rsid w:val="003F0FF4"/>
    <w:rsid w:val="00412880"/>
    <w:rsid w:val="00414143"/>
    <w:rsid w:val="00417664"/>
    <w:rsid w:val="0043162E"/>
    <w:rsid w:val="00442A7A"/>
    <w:rsid w:val="00443123"/>
    <w:rsid w:val="00443158"/>
    <w:rsid w:val="00453F59"/>
    <w:rsid w:val="00457800"/>
    <w:rsid w:val="004633EF"/>
    <w:rsid w:val="00471C67"/>
    <w:rsid w:val="00477E7E"/>
    <w:rsid w:val="00486B23"/>
    <w:rsid w:val="00495C80"/>
    <w:rsid w:val="004A5C89"/>
    <w:rsid w:val="004D15B2"/>
    <w:rsid w:val="005001A7"/>
    <w:rsid w:val="00501B3F"/>
    <w:rsid w:val="00503F0D"/>
    <w:rsid w:val="005049C8"/>
    <w:rsid w:val="00506A4F"/>
    <w:rsid w:val="00514A09"/>
    <w:rsid w:val="00542FEA"/>
    <w:rsid w:val="005470BB"/>
    <w:rsid w:val="005470C2"/>
    <w:rsid w:val="005515C8"/>
    <w:rsid w:val="005516B3"/>
    <w:rsid w:val="005554A1"/>
    <w:rsid w:val="0055667E"/>
    <w:rsid w:val="0056491B"/>
    <w:rsid w:val="0056672A"/>
    <w:rsid w:val="00571821"/>
    <w:rsid w:val="00581DF6"/>
    <w:rsid w:val="00590F50"/>
    <w:rsid w:val="00592E41"/>
    <w:rsid w:val="0059665F"/>
    <w:rsid w:val="005979EB"/>
    <w:rsid w:val="005A264A"/>
    <w:rsid w:val="005B75C4"/>
    <w:rsid w:val="005C2B9F"/>
    <w:rsid w:val="005C6CE8"/>
    <w:rsid w:val="005D5463"/>
    <w:rsid w:val="005E3D60"/>
    <w:rsid w:val="00600ED8"/>
    <w:rsid w:val="0060522C"/>
    <w:rsid w:val="006112C6"/>
    <w:rsid w:val="00614332"/>
    <w:rsid w:val="0061451A"/>
    <w:rsid w:val="00616F0C"/>
    <w:rsid w:val="00641635"/>
    <w:rsid w:val="0066066F"/>
    <w:rsid w:val="00666CC0"/>
    <w:rsid w:val="00666D0E"/>
    <w:rsid w:val="006744F4"/>
    <w:rsid w:val="006A70A6"/>
    <w:rsid w:val="006B03E6"/>
    <w:rsid w:val="006B0634"/>
    <w:rsid w:val="006D50F1"/>
    <w:rsid w:val="006D740E"/>
    <w:rsid w:val="006E0D5F"/>
    <w:rsid w:val="006E64ED"/>
    <w:rsid w:val="0070263F"/>
    <w:rsid w:val="007240BA"/>
    <w:rsid w:val="00742012"/>
    <w:rsid w:val="00745640"/>
    <w:rsid w:val="00757049"/>
    <w:rsid w:val="0077047A"/>
    <w:rsid w:val="0077452F"/>
    <w:rsid w:val="0077778E"/>
    <w:rsid w:val="00780D7F"/>
    <w:rsid w:val="00782C90"/>
    <w:rsid w:val="0078306E"/>
    <w:rsid w:val="00784BF2"/>
    <w:rsid w:val="007910C3"/>
    <w:rsid w:val="00794E9C"/>
    <w:rsid w:val="007B2829"/>
    <w:rsid w:val="007B592B"/>
    <w:rsid w:val="007E6A92"/>
    <w:rsid w:val="0080229C"/>
    <w:rsid w:val="00821D4A"/>
    <w:rsid w:val="008241D9"/>
    <w:rsid w:val="00831617"/>
    <w:rsid w:val="008348C9"/>
    <w:rsid w:val="008351AA"/>
    <w:rsid w:val="00835E4D"/>
    <w:rsid w:val="00836A28"/>
    <w:rsid w:val="008512E7"/>
    <w:rsid w:val="0087460C"/>
    <w:rsid w:val="008A320A"/>
    <w:rsid w:val="008B083A"/>
    <w:rsid w:val="008B574F"/>
    <w:rsid w:val="008C2605"/>
    <w:rsid w:val="008C48DC"/>
    <w:rsid w:val="008D0531"/>
    <w:rsid w:val="008E5351"/>
    <w:rsid w:val="008F6294"/>
    <w:rsid w:val="00902FA0"/>
    <w:rsid w:val="00904F5C"/>
    <w:rsid w:val="00906D3A"/>
    <w:rsid w:val="00926B42"/>
    <w:rsid w:val="00930C88"/>
    <w:rsid w:val="00942590"/>
    <w:rsid w:val="00943699"/>
    <w:rsid w:val="0094442C"/>
    <w:rsid w:val="00945C8B"/>
    <w:rsid w:val="0097598A"/>
    <w:rsid w:val="00977B0C"/>
    <w:rsid w:val="009819B7"/>
    <w:rsid w:val="00982CE3"/>
    <w:rsid w:val="00993BDB"/>
    <w:rsid w:val="009969E4"/>
    <w:rsid w:val="0099771D"/>
    <w:rsid w:val="009C3A93"/>
    <w:rsid w:val="009E0087"/>
    <w:rsid w:val="009F2107"/>
    <w:rsid w:val="009F3E45"/>
    <w:rsid w:val="009F3F54"/>
    <w:rsid w:val="009F6C7F"/>
    <w:rsid w:val="00A035A0"/>
    <w:rsid w:val="00A06F7B"/>
    <w:rsid w:val="00A07FFB"/>
    <w:rsid w:val="00A1759F"/>
    <w:rsid w:val="00A23F1F"/>
    <w:rsid w:val="00A27F51"/>
    <w:rsid w:val="00A31E45"/>
    <w:rsid w:val="00A33FA3"/>
    <w:rsid w:val="00A37998"/>
    <w:rsid w:val="00A410A0"/>
    <w:rsid w:val="00A4760F"/>
    <w:rsid w:val="00A537D7"/>
    <w:rsid w:val="00A54E9C"/>
    <w:rsid w:val="00A70A4B"/>
    <w:rsid w:val="00A72311"/>
    <w:rsid w:val="00A76F3C"/>
    <w:rsid w:val="00A90BAD"/>
    <w:rsid w:val="00A969C4"/>
    <w:rsid w:val="00AA54CC"/>
    <w:rsid w:val="00AA6E98"/>
    <w:rsid w:val="00AB5760"/>
    <w:rsid w:val="00AC1B1D"/>
    <w:rsid w:val="00AC20FB"/>
    <w:rsid w:val="00AC275D"/>
    <w:rsid w:val="00AC4737"/>
    <w:rsid w:val="00AC501D"/>
    <w:rsid w:val="00AD7373"/>
    <w:rsid w:val="00AE0317"/>
    <w:rsid w:val="00AE3EB7"/>
    <w:rsid w:val="00AE4160"/>
    <w:rsid w:val="00B06398"/>
    <w:rsid w:val="00B13453"/>
    <w:rsid w:val="00B163FC"/>
    <w:rsid w:val="00B27799"/>
    <w:rsid w:val="00B3158B"/>
    <w:rsid w:val="00B3796B"/>
    <w:rsid w:val="00B40E8A"/>
    <w:rsid w:val="00B570FB"/>
    <w:rsid w:val="00B8417B"/>
    <w:rsid w:val="00BA2A41"/>
    <w:rsid w:val="00BA304B"/>
    <w:rsid w:val="00BA5A23"/>
    <w:rsid w:val="00BC087C"/>
    <w:rsid w:val="00BE31DF"/>
    <w:rsid w:val="00C07CD3"/>
    <w:rsid w:val="00C21748"/>
    <w:rsid w:val="00C21796"/>
    <w:rsid w:val="00C27956"/>
    <w:rsid w:val="00C37815"/>
    <w:rsid w:val="00C4672C"/>
    <w:rsid w:val="00C46D74"/>
    <w:rsid w:val="00C55593"/>
    <w:rsid w:val="00C8302F"/>
    <w:rsid w:val="00C90DCB"/>
    <w:rsid w:val="00C9121D"/>
    <w:rsid w:val="00C92CA8"/>
    <w:rsid w:val="00C96107"/>
    <w:rsid w:val="00CC24A9"/>
    <w:rsid w:val="00CD6458"/>
    <w:rsid w:val="00CE622F"/>
    <w:rsid w:val="00CF42BF"/>
    <w:rsid w:val="00D040F0"/>
    <w:rsid w:val="00D062AA"/>
    <w:rsid w:val="00D16575"/>
    <w:rsid w:val="00D30586"/>
    <w:rsid w:val="00D324B1"/>
    <w:rsid w:val="00D33AFC"/>
    <w:rsid w:val="00D35549"/>
    <w:rsid w:val="00D56891"/>
    <w:rsid w:val="00D572D7"/>
    <w:rsid w:val="00D6496E"/>
    <w:rsid w:val="00D87683"/>
    <w:rsid w:val="00DA363A"/>
    <w:rsid w:val="00DB54B9"/>
    <w:rsid w:val="00DC613D"/>
    <w:rsid w:val="00DE2391"/>
    <w:rsid w:val="00DF6D74"/>
    <w:rsid w:val="00E028C8"/>
    <w:rsid w:val="00E028E1"/>
    <w:rsid w:val="00E041B6"/>
    <w:rsid w:val="00E10358"/>
    <w:rsid w:val="00E13652"/>
    <w:rsid w:val="00E37FE4"/>
    <w:rsid w:val="00E4512C"/>
    <w:rsid w:val="00E65836"/>
    <w:rsid w:val="00E833B6"/>
    <w:rsid w:val="00E94942"/>
    <w:rsid w:val="00E96423"/>
    <w:rsid w:val="00EC7D66"/>
    <w:rsid w:val="00ED04A5"/>
    <w:rsid w:val="00ED5ADC"/>
    <w:rsid w:val="00ED5C87"/>
    <w:rsid w:val="00F538B6"/>
    <w:rsid w:val="00F61349"/>
    <w:rsid w:val="00F8724D"/>
    <w:rsid w:val="00F87CCB"/>
    <w:rsid w:val="00F9246B"/>
    <w:rsid w:val="00F94A3E"/>
    <w:rsid w:val="00FC04AE"/>
    <w:rsid w:val="00FD485C"/>
    <w:rsid w:val="00FE16A7"/>
    <w:rsid w:val="00FE48E9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EF09"/>
  <w15:docId w15:val="{C9C4F07A-325E-4F5E-B49F-DEBF1E43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78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03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4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1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ED5E9-1B1D-44FC-A438-6B3D1EAC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6</Pages>
  <Words>1858</Words>
  <Characters>10595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Anuša Rešetar</dc:creator>
  <cp:lastModifiedBy>Martina Kućina</cp:lastModifiedBy>
  <cp:revision>317</cp:revision>
  <cp:lastPrinted>2026-02-13T07:47:00Z</cp:lastPrinted>
  <dcterms:created xsi:type="dcterms:W3CDTF">2026-02-10T14:54:00Z</dcterms:created>
  <dcterms:modified xsi:type="dcterms:W3CDTF">2026-02-13T07:54:00Z</dcterms:modified>
</cp:coreProperties>
</file>